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0" simplePos="0" relativeHeight="15728640">
            <wp:simplePos x="0" y="0"/>
            <wp:positionH relativeFrom="page">
              <wp:posOffset>454151</wp:posOffset>
            </wp:positionH>
            <wp:positionV relativeFrom="paragraph">
              <wp:posOffset>86414</wp:posOffset>
            </wp:positionV>
            <wp:extent cx="938784" cy="768096"/>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938784" cy="768096"/>
                    </a:xfrm>
                    <a:prstGeom prst="rect">
                      <a:avLst/>
                    </a:prstGeom>
                  </pic:spPr>
                </pic:pic>
              </a:graphicData>
            </a:graphic>
          </wp:anchor>
        </w:drawing>
      </w:r>
      <w:r>
        <w:rPr>
          <w:color w:val="0070C0"/>
          <w:spacing w:val="-8"/>
        </w:rPr>
        <w:t>INTERNATIONAL</w:t>
      </w:r>
      <w:r>
        <w:rPr>
          <w:color w:val="0070C0"/>
          <w:spacing w:val="8"/>
        </w:rPr>
        <w:t> </w:t>
      </w:r>
      <w:r>
        <w:rPr>
          <w:color w:val="0070C0"/>
          <w:spacing w:val="-8"/>
        </w:rPr>
        <w:t>RESEARCH</w:t>
      </w:r>
      <w:r>
        <w:rPr>
          <w:color w:val="0070C0"/>
          <w:spacing w:val="8"/>
        </w:rPr>
        <w:t> </w:t>
      </w:r>
      <w:r>
        <w:rPr>
          <w:color w:val="0070C0"/>
          <w:spacing w:val="-8"/>
        </w:rPr>
        <w:t>JOURNAL</w:t>
      </w:r>
      <w:r>
        <w:rPr>
          <w:color w:val="0070C0"/>
          <w:spacing w:val="9"/>
        </w:rPr>
        <w:t> </w:t>
      </w:r>
      <w:r>
        <w:rPr>
          <w:color w:val="0070C0"/>
          <w:spacing w:val="-8"/>
        </w:rPr>
        <w:t>OF</w:t>
      </w:r>
      <w:r>
        <w:rPr>
          <w:color w:val="0070C0"/>
          <w:spacing w:val="7"/>
        </w:rPr>
        <w:t> </w:t>
      </w:r>
      <w:r>
        <w:rPr>
          <w:color w:val="0070C0"/>
          <w:spacing w:val="-8"/>
        </w:rPr>
        <w:t>PHARMACY</w:t>
      </w:r>
    </w:p>
    <w:p>
      <w:pPr>
        <w:pStyle w:val="Heading1"/>
        <w:tabs>
          <w:tab w:pos="7754" w:val="left" w:leader="none"/>
        </w:tabs>
        <w:spacing w:line="244" w:lineRule="auto" w:before="7"/>
        <w:ind w:left="5263" w:right="615"/>
        <w:rPr>
          <w:rFonts w:ascii="Georgia" w:hAnsi="Georgia"/>
        </w:rPr>
      </w:pPr>
      <w:hyperlink r:id="rId8">
        <w:r>
          <w:rPr>
            <w:rFonts w:ascii="Georgia" w:hAnsi="Georgia"/>
            <w:spacing w:val="-2"/>
          </w:rPr>
          <w:t>www.irjponline.com</w:t>
        </w:r>
      </w:hyperlink>
      <w:r>
        <w:rPr>
          <w:rFonts w:ascii="Georgia" w:hAnsi="Georgia"/>
        </w:rPr>
        <w:tab/>
        <w:tab/>
        <w:t>ISSN 2230 – 8407 Review Article</w:t>
      </w:r>
    </w:p>
    <w:p>
      <w:pPr>
        <w:pStyle w:val="BodyText"/>
        <w:ind w:left="0"/>
        <w:jc w:val="left"/>
        <w:rPr>
          <w:rFonts w:ascii="Georgia"/>
          <w:sz w:val="24"/>
        </w:rPr>
      </w:pPr>
    </w:p>
    <w:p>
      <w:pPr>
        <w:pStyle w:val="BodyText"/>
        <w:spacing w:before="8"/>
        <w:ind w:left="0"/>
        <w:jc w:val="left"/>
        <w:rPr>
          <w:rFonts w:ascii="Georgia"/>
          <w:sz w:val="24"/>
        </w:rPr>
      </w:pPr>
    </w:p>
    <w:p>
      <w:pPr>
        <w:spacing w:line="272" w:lineRule="exact" w:before="0"/>
        <w:ind w:left="7" w:right="9" w:firstLine="0"/>
        <w:jc w:val="center"/>
        <w:rPr>
          <w:b/>
          <w:sz w:val="24"/>
        </w:rPr>
      </w:pPr>
      <w:r>
        <w:rPr>
          <w:b/>
          <w:sz w:val="24"/>
        </w:rPr>
        <w:t>SOLID</w:t>
      </w:r>
      <w:r>
        <w:rPr>
          <w:b/>
          <w:spacing w:val="-7"/>
          <w:sz w:val="24"/>
        </w:rPr>
        <w:t> </w:t>
      </w:r>
      <w:r>
        <w:rPr>
          <w:b/>
          <w:sz w:val="24"/>
        </w:rPr>
        <w:t>LIPID</w:t>
      </w:r>
      <w:r>
        <w:rPr>
          <w:b/>
          <w:spacing w:val="-5"/>
          <w:sz w:val="24"/>
        </w:rPr>
        <w:t> </w:t>
      </w:r>
      <w:r>
        <w:rPr>
          <w:b/>
          <w:sz w:val="24"/>
        </w:rPr>
        <w:t>NANOPARTICLES:</w:t>
      </w:r>
      <w:r>
        <w:rPr>
          <w:b/>
          <w:spacing w:val="-3"/>
          <w:sz w:val="24"/>
        </w:rPr>
        <w:t> </w:t>
      </w:r>
      <w:r>
        <w:rPr>
          <w:b/>
          <w:sz w:val="24"/>
        </w:rPr>
        <w:t>A</w:t>
      </w:r>
      <w:r>
        <w:rPr>
          <w:b/>
          <w:spacing w:val="-5"/>
          <w:sz w:val="24"/>
        </w:rPr>
        <w:t> </w:t>
      </w:r>
      <w:r>
        <w:rPr>
          <w:b/>
          <w:sz w:val="24"/>
        </w:rPr>
        <w:t>PROMISING</w:t>
      </w:r>
      <w:r>
        <w:rPr>
          <w:b/>
          <w:spacing w:val="-4"/>
          <w:sz w:val="24"/>
        </w:rPr>
        <w:t> </w:t>
      </w:r>
      <w:r>
        <w:rPr>
          <w:b/>
          <w:sz w:val="24"/>
        </w:rPr>
        <w:t>DRUG</w:t>
      </w:r>
      <w:r>
        <w:rPr>
          <w:b/>
          <w:spacing w:val="-4"/>
          <w:sz w:val="24"/>
        </w:rPr>
        <w:t> </w:t>
      </w:r>
      <w:r>
        <w:rPr>
          <w:b/>
          <w:sz w:val="24"/>
        </w:rPr>
        <w:t>DELIVERY</w:t>
      </w:r>
      <w:r>
        <w:rPr>
          <w:b/>
          <w:spacing w:val="-4"/>
          <w:sz w:val="24"/>
        </w:rPr>
        <w:t> </w:t>
      </w:r>
      <w:r>
        <w:rPr>
          <w:b/>
          <w:spacing w:val="-2"/>
          <w:sz w:val="24"/>
        </w:rPr>
        <w:t>SYSTEM</w:t>
      </w:r>
    </w:p>
    <w:p>
      <w:pPr>
        <w:pStyle w:val="Heading1"/>
        <w:spacing w:line="272" w:lineRule="exact"/>
        <w:ind w:firstLine="0"/>
        <w:jc w:val="center"/>
      </w:pPr>
      <w:r>
        <w:rPr/>
        <w:t>Waghmare A.</w:t>
      </w:r>
      <w:r>
        <w:rPr>
          <w:spacing w:val="-2"/>
        </w:rPr>
        <w:t> </w:t>
      </w:r>
      <w:r>
        <w:rPr/>
        <w:t>S.*,</w:t>
      </w:r>
      <w:r>
        <w:rPr>
          <w:spacing w:val="-5"/>
        </w:rPr>
        <w:t> </w:t>
      </w:r>
      <w:r>
        <w:rPr/>
        <w:t>Grampurohit</w:t>
      </w:r>
      <w:r>
        <w:rPr>
          <w:spacing w:val="2"/>
        </w:rPr>
        <w:t> </w:t>
      </w:r>
      <w:r>
        <w:rPr/>
        <w:t>N.D.,</w:t>
      </w:r>
      <w:r>
        <w:rPr>
          <w:spacing w:val="-5"/>
        </w:rPr>
        <w:t> </w:t>
      </w:r>
      <w:r>
        <w:rPr/>
        <w:t>Gadhave</w:t>
      </w:r>
      <w:r>
        <w:rPr>
          <w:spacing w:val="-5"/>
        </w:rPr>
        <w:t> </w:t>
      </w:r>
      <w:r>
        <w:rPr/>
        <w:t>M.V.,</w:t>
      </w:r>
      <w:r>
        <w:rPr>
          <w:spacing w:val="-1"/>
        </w:rPr>
        <w:t> </w:t>
      </w:r>
      <w:r>
        <w:rPr/>
        <w:t>Gaikwad</w:t>
      </w:r>
      <w:r>
        <w:rPr>
          <w:spacing w:val="-3"/>
        </w:rPr>
        <w:t> </w:t>
      </w:r>
      <w:r>
        <w:rPr/>
        <w:t>D.D.,</w:t>
      </w:r>
      <w:r>
        <w:rPr>
          <w:spacing w:val="-2"/>
        </w:rPr>
        <w:t> </w:t>
      </w:r>
      <w:r>
        <w:rPr/>
        <w:t>Jadhav</w:t>
      </w:r>
      <w:r>
        <w:rPr>
          <w:spacing w:val="-7"/>
        </w:rPr>
        <w:t> </w:t>
      </w:r>
      <w:r>
        <w:rPr>
          <w:spacing w:val="-5"/>
        </w:rPr>
        <w:t>S.L</w:t>
      </w:r>
    </w:p>
    <w:p>
      <w:pPr>
        <w:pStyle w:val="BodyText"/>
        <w:spacing w:before="1"/>
        <w:ind w:left="9" w:right="2"/>
        <w:jc w:val="center"/>
      </w:pPr>
      <w:r>
        <w:rPr/>
        <w:t>Department</w:t>
      </w:r>
      <w:r>
        <w:rPr>
          <w:spacing w:val="-11"/>
        </w:rPr>
        <w:t> </w:t>
      </w:r>
      <w:r>
        <w:rPr/>
        <w:t>of</w:t>
      </w:r>
      <w:r>
        <w:rPr>
          <w:spacing w:val="-12"/>
        </w:rPr>
        <w:t> </w:t>
      </w:r>
      <w:r>
        <w:rPr/>
        <w:t>Pharmaceutics,</w:t>
      </w:r>
      <w:r>
        <w:rPr>
          <w:spacing w:val="-6"/>
        </w:rPr>
        <w:t> </w:t>
      </w:r>
      <w:r>
        <w:rPr/>
        <w:t>Vishal</w:t>
      </w:r>
      <w:r>
        <w:rPr>
          <w:spacing w:val="-11"/>
        </w:rPr>
        <w:t> </w:t>
      </w:r>
      <w:r>
        <w:rPr/>
        <w:t>Institute</w:t>
      </w:r>
      <w:r>
        <w:rPr>
          <w:spacing w:val="-11"/>
        </w:rPr>
        <w:t> </w:t>
      </w:r>
      <w:r>
        <w:rPr/>
        <w:t>of</w:t>
      </w:r>
      <w:r>
        <w:rPr>
          <w:spacing w:val="-12"/>
        </w:rPr>
        <w:t> </w:t>
      </w:r>
      <w:r>
        <w:rPr/>
        <w:t>Pharmaceutical</w:t>
      </w:r>
      <w:r>
        <w:rPr>
          <w:spacing w:val="-11"/>
        </w:rPr>
        <w:t> </w:t>
      </w:r>
      <w:r>
        <w:rPr/>
        <w:t>Education</w:t>
      </w:r>
      <w:r>
        <w:rPr>
          <w:spacing w:val="-8"/>
        </w:rPr>
        <w:t> </w:t>
      </w:r>
      <w:r>
        <w:rPr/>
        <w:t>&amp;</w:t>
      </w:r>
      <w:r>
        <w:rPr>
          <w:spacing w:val="-11"/>
        </w:rPr>
        <w:t> </w:t>
      </w:r>
      <w:r>
        <w:rPr/>
        <w:t>Research,</w:t>
      </w:r>
      <w:r>
        <w:rPr>
          <w:spacing w:val="-6"/>
        </w:rPr>
        <w:t> </w:t>
      </w:r>
      <w:r>
        <w:rPr/>
        <w:t>Ale,</w:t>
      </w:r>
      <w:r>
        <w:rPr>
          <w:spacing w:val="-6"/>
        </w:rPr>
        <w:t> </w:t>
      </w:r>
      <w:r>
        <w:rPr/>
        <w:t>Pune,</w:t>
      </w:r>
      <w:r>
        <w:rPr>
          <w:spacing w:val="-6"/>
        </w:rPr>
        <w:t> </w:t>
      </w:r>
      <w:r>
        <w:rPr/>
        <w:t>Maharashtra,</w:t>
      </w:r>
      <w:r>
        <w:rPr>
          <w:spacing w:val="-6"/>
        </w:rPr>
        <w:t> </w:t>
      </w:r>
      <w:r>
        <w:rPr>
          <w:spacing w:val="-2"/>
        </w:rPr>
        <w:t>India</w:t>
      </w:r>
    </w:p>
    <w:p>
      <w:pPr>
        <w:spacing w:before="187"/>
        <w:ind w:left="6" w:right="5" w:firstLine="0"/>
        <w:jc w:val="center"/>
        <w:rPr>
          <w:sz w:val="16"/>
        </w:rPr>
      </w:pPr>
      <w:r>
        <w:rPr>
          <w:sz w:val="16"/>
        </w:rPr>
        <w:t>Article</w:t>
      </w:r>
      <w:r>
        <w:rPr>
          <w:spacing w:val="-8"/>
          <w:sz w:val="16"/>
        </w:rPr>
        <w:t> </w:t>
      </w:r>
      <w:r>
        <w:rPr>
          <w:sz w:val="16"/>
        </w:rPr>
        <w:t>Received</w:t>
      </w:r>
      <w:r>
        <w:rPr>
          <w:spacing w:val="-3"/>
          <w:sz w:val="16"/>
        </w:rPr>
        <w:t> </w:t>
      </w:r>
      <w:r>
        <w:rPr>
          <w:sz w:val="16"/>
        </w:rPr>
        <w:t>on:</w:t>
      </w:r>
      <w:r>
        <w:rPr>
          <w:spacing w:val="-6"/>
          <w:sz w:val="16"/>
        </w:rPr>
        <w:t> </w:t>
      </w:r>
      <w:r>
        <w:rPr>
          <w:sz w:val="16"/>
        </w:rPr>
        <w:t>17/02/12</w:t>
      </w:r>
      <w:r>
        <w:rPr>
          <w:spacing w:val="-3"/>
          <w:sz w:val="16"/>
        </w:rPr>
        <w:t> </w:t>
      </w:r>
      <w:r>
        <w:rPr>
          <w:sz w:val="16"/>
        </w:rPr>
        <w:t>Revised</w:t>
      </w:r>
      <w:r>
        <w:rPr>
          <w:spacing w:val="-3"/>
          <w:sz w:val="16"/>
        </w:rPr>
        <w:t> </w:t>
      </w:r>
      <w:r>
        <w:rPr>
          <w:sz w:val="16"/>
        </w:rPr>
        <w:t>on:</w:t>
      </w:r>
      <w:r>
        <w:rPr>
          <w:spacing w:val="-1"/>
          <w:sz w:val="16"/>
        </w:rPr>
        <w:t> </w:t>
      </w:r>
      <w:r>
        <w:rPr>
          <w:sz w:val="16"/>
        </w:rPr>
        <w:t>29/03/12</w:t>
      </w:r>
      <w:r>
        <w:rPr>
          <w:spacing w:val="-3"/>
          <w:sz w:val="16"/>
        </w:rPr>
        <w:t> </w:t>
      </w:r>
      <w:r>
        <w:rPr>
          <w:sz w:val="16"/>
        </w:rPr>
        <w:t>Approved</w:t>
      </w:r>
      <w:r>
        <w:rPr>
          <w:spacing w:val="-3"/>
          <w:sz w:val="16"/>
        </w:rPr>
        <w:t> </w:t>
      </w:r>
      <w:r>
        <w:rPr>
          <w:sz w:val="16"/>
        </w:rPr>
        <w:t>for publication:</w:t>
      </w:r>
      <w:r>
        <w:rPr>
          <w:spacing w:val="-5"/>
          <w:sz w:val="16"/>
        </w:rPr>
        <w:t> </w:t>
      </w:r>
      <w:r>
        <w:rPr>
          <w:spacing w:val="-2"/>
          <w:sz w:val="16"/>
        </w:rPr>
        <w:t>05/04/12</w:t>
      </w:r>
    </w:p>
    <w:p>
      <w:pPr>
        <w:pStyle w:val="BodyText"/>
        <w:spacing w:before="41"/>
        <w:ind w:left="0"/>
        <w:jc w:val="left"/>
        <w:rPr>
          <w:sz w:val="16"/>
        </w:rPr>
      </w:pPr>
    </w:p>
    <w:p>
      <w:pPr>
        <w:spacing w:before="0"/>
        <w:ind w:left="141" w:right="0" w:firstLine="0"/>
        <w:jc w:val="left"/>
        <w:rPr>
          <w:sz w:val="16"/>
        </w:rPr>
      </w:pPr>
      <w:r>
        <w:rPr>
          <w:sz w:val="20"/>
        </w:rPr>
        <w:t>*</w:t>
      </w:r>
      <w:r>
        <w:rPr>
          <w:sz w:val="16"/>
        </w:rPr>
        <w:t>Email:</w:t>
      </w:r>
      <w:r>
        <w:rPr>
          <w:spacing w:val="-9"/>
          <w:sz w:val="16"/>
        </w:rPr>
        <w:t> </w:t>
      </w:r>
      <w:hyperlink r:id="rId9">
        <w:r>
          <w:rPr>
            <w:spacing w:val="-2"/>
            <w:sz w:val="16"/>
          </w:rPr>
          <w:t>amolwaghmare5@gmail.com</w:t>
        </w:r>
      </w:hyperlink>
    </w:p>
    <w:p>
      <w:pPr>
        <w:pStyle w:val="BodyText"/>
        <w:spacing w:before="12"/>
        <w:ind w:left="0"/>
        <w:jc w:val="left"/>
        <w:rPr>
          <w:sz w:val="16"/>
        </w:rPr>
      </w:pPr>
    </w:p>
    <w:p>
      <w:pPr>
        <w:spacing w:line="181" w:lineRule="exact" w:before="0"/>
        <w:ind w:left="141" w:right="0" w:firstLine="0"/>
        <w:jc w:val="left"/>
        <w:rPr>
          <w:b/>
          <w:sz w:val="16"/>
        </w:rPr>
      </w:pPr>
      <w:r>
        <w:rPr>
          <w:b/>
          <w:spacing w:val="-2"/>
          <w:sz w:val="16"/>
        </w:rPr>
        <w:t>ABSTRACT</w:t>
      </w:r>
    </w:p>
    <w:p>
      <w:pPr>
        <w:spacing w:line="240" w:lineRule="auto" w:before="0"/>
        <w:ind w:left="141" w:right="138" w:firstLine="0"/>
        <w:jc w:val="both"/>
        <w:rPr>
          <w:sz w:val="16"/>
        </w:rPr>
      </w:pPr>
      <w:r>
        <w:rPr>
          <w:sz w:val="16"/>
        </w:rPr>
        <w:t>Solid</w:t>
      </w:r>
      <w:r>
        <w:rPr>
          <w:spacing w:val="-1"/>
          <w:sz w:val="16"/>
        </w:rPr>
        <w:t> </w:t>
      </w:r>
      <w:r>
        <w:rPr>
          <w:sz w:val="16"/>
        </w:rPr>
        <w:t>lipid</w:t>
      </w:r>
      <w:r>
        <w:rPr>
          <w:spacing w:val="-1"/>
          <w:sz w:val="16"/>
        </w:rPr>
        <w:t> </w:t>
      </w:r>
      <w:r>
        <w:rPr>
          <w:sz w:val="16"/>
        </w:rPr>
        <w:t>nanoparticles</w:t>
      </w:r>
      <w:r>
        <w:rPr>
          <w:spacing w:val="-7"/>
          <w:sz w:val="16"/>
        </w:rPr>
        <w:t> </w:t>
      </w:r>
      <w:r>
        <w:rPr>
          <w:sz w:val="16"/>
        </w:rPr>
        <w:t>are</w:t>
      </w:r>
      <w:r>
        <w:rPr>
          <w:spacing w:val="-6"/>
          <w:sz w:val="16"/>
        </w:rPr>
        <w:t> </w:t>
      </w:r>
      <w:r>
        <w:rPr>
          <w:sz w:val="16"/>
        </w:rPr>
        <w:t>at</w:t>
      </w:r>
      <w:r>
        <w:rPr>
          <w:spacing w:val="-4"/>
          <w:sz w:val="16"/>
        </w:rPr>
        <w:t> </w:t>
      </w:r>
      <w:r>
        <w:rPr>
          <w:sz w:val="16"/>
        </w:rPr>
        <w:t>the</w:t>
      </w:r>
      <w:r>
        <w:rPr>
          <w:spacing w:val="-1"/>
          <w:sz w:val="16"/>
        </w:rPr>
        <w:t> </w:t>
      </w:r>
      <w:r>
        <w:rPr>
          <w:sz w:val="16"/>
        </w:rPr>
        <w:t>forefront of</w:t>
      </w:r>
      <w:r>
        <w:rPr>
          <w:spacing w:val="-8"/>
          <w:sz w:val="16"/>
        </w:rPr>
        <w:t> </w:t>
      </w:r>
      <w:r>
        <w:rPr>
          <w:sz w:val="16"/>
        </w:rPr>
        <w:t>the</w:t>
      </w:r>
      <w:r>
        <w:rPr>
          <w:spacing w:val="-6"/>
          <w:sz w:val="16"/>
        </w:rPr>
        <w:t> </w:t>
      </w:r>
      <w:r>
        <w:rPr>
          <w:sz w:val="16"/>
        </w:rPr>
        <w:t>rapidly</w:t>
      </w:r>
      <w:r>
        <w:rPr>
          <w:spacing w:val="-1"/>
          <w:sz w:val="16"/>
        </w:rPr>
        <w:t> </w:t>
      </w:r>
      <w:r>
        <w:rPr>
          <w:sz w:val="16"/>
        </w:rPr>
        <w:t>developing</w:t>
      </w:r>
      <w:r>
        <w:rPr>
          <w:spacing w:val="-1"/>
          <w:sz w:val="16"/>
        </w:rPr>
        <w:t> </w:t>
      </w:r>
      <w:r>
        <w:rPr>
          <w:sz w:val="16"/>
        </w:rPr>
        <w:t>field</w:t>
      </w:r>
      <w:r>
        <w:rPr>
          <w:spacing w:val="-1"/>
          <w:sz w:val="16"/>
        </w:rPr>
        <w:t> </w:t>
      </w:r>
      <w:r>
        <w:rPr>
          <w:sz w:val="16"/>
        </w:rPr>
        <w:t>of</w:t>
      </w:r>
      <w:r>
        <w:rPr>
          <w:spacing w:val="-3"/>
          <w:sz w:val="16"/>
        </w:rPr>
        <w:t> </w:t>
      </w:r>
      <w:r>
        <w:rPr>
          <w:sz w:val="16"/>
        </w:rPr>
        <w:t>nanotechnology with</w:t>
      </w:r>
      <w:r>
        <w:rPr>
          <w:spacing w:val="-1"/>
          <w:sz w:val="16"/>
        </w:rPr>
        <w:t> </w:t>
      </w:r>
      <w:r>
        <w:rPr>
          <w:sz w:val="16"/>
        </w:rPr>
        <w:t>several potential</w:t>
      </w:r>
      <w:r>
        <w:rPr>
          <w:spacing w:val="-4"/>
          <w:sz w:val="16"/>
        </w:rPr>
        <w:t> </w:t>
      </w:r>
      <w:r>
        <w:rPr>
          <w:sz w:val="16"/>
        </w:rPr>
        <w:t>applications</w:t>
      </w:r>
      <w:r>
        <w:rPr>
          <w:spacing w:val="-2"/>
          <w:sz w:val="16"/>
        </w:rPr>
        <w:t> </w:t>
      </w:r>
      <w:r>
        <w:rPr>
          <w:sz w:val="16"/>
        </w:rPr>
        <w:t>in</w:t>
      </w:r>
      <w:r>
        <w:rPr>
          <w:spacing w:val="-1"/>
          <w:sz w:val="16"/>
        </w:rPr>
        <w:t> </w:t>
      </w:r>
      <w:r>
        <w:rPr>
          <w:sz w:val="16"/>
        </w:rPr>
        <w:t>drug</w:t>
      </w:r>
      <w:r>
        <w:rPr>
          <w:spacing w:val="-1"/>
          <w:sz w:val="16"/>
        </w:rPr>
        <w:t> </w:t>
      </w:r>
      <w:r>
        <w:rPr>
          <w:sz w:val="16"/>
        </w:rPr>
        <w:t>delivery,</w:t>
      </w:r>
      <w:r>
        <w:rPr>
          <w:spacing w:val="-4"/>
          <w:sz w:val="16"/>
        </w:rPr>
        <w:t> </w:t>
      </w:r>
      <w:r>
        <w:rPr>
          <w:sz w:val="16"/>
        </w:rPr>
        <w:t>research</w:t>
      </w:r>
      <w:r>
        <w:rPr>
          <w:spacing w:val="-1"/>
          <w:sz w:val="16"/>
        </w:rPr>
        <w:t> </w:t>
      </w:r>
      <w:r>
        <w:rPr>
          <w:sz w:val="16"/>
        </w:rPr>
        <w:t>and</w:t>
      </w:r>
      <w:r>
        <w:rPr>
          <w:spacing w:val="40"/>
          <w:sz w:val="16"/>
        </w:rPr>
        <w:t> </w:t>
      </w:r>
      <w:r>
        <w:rPr>
          <w:sz w:val="16"/>
        </w:rPr>
        <w:t>clinical medicine, as well as in other varied sciences. Solid lipid nanoparticles (SLNs) technology represents a promising new approach to lipophilic drug</w:t>
      </w:r>
      <w:r>
        <w:rPr>
          <w:spacing w:val="40"/>
          <w:sz w:val="16"/>
        </w:rPr>
        <w:t> </w:t>
      </w:r>
      <w:r>
        <w:rPr>
          <w:sz w:val="16"/>
        </w:rPr>
        <w:t>delivery. Nanoparticles are solid colloidal particles ranging in size from 1 to 1000 nm and composed of macromolecular material. The biodegradable and</w:t>
      </w:r>
      <w:r>
        <w:rPr>
          <w:spacing w:val="40"/>
          <w:sz w:val="16"/>
        </w:rPr>
        <w:t> </w:t>
      </w:r>
      <w:r>
        <w:rPr>
          <w:sz w:val="16"/>
        </w:rPr>
        <w:t>bioacceptable nature of</w:t>
      </w:r>
      <w:r>
        <w:rPr>
          <w:spacing w:val="-3"/>
          <w:sz w:val="16"/>
        </w:rPr>
        <w:t> </w:t>
      </w:r>
      <w:r>
        <w:rPr>
          <w:sz w:val="16"/>
        </w:rPr>
        <w:t>SLNs makes</w:t>
      </w:r>
      <w:r>
        <w:rPr>
          <w:spacing w:val="-2"/>
          <w:sz w:val="16"/>
        </w:rPr>
        <w:t> </w:t>
      </w:r>
      <w:r>
        <w:rPr>
          <w:sz w:val="16"/>
        </w:rPr>
        <w:t>them less</w:t>
      </w:r>
      <w:r>
        <w:rPr>
          <w:spacing w:val="-2"/>
          <w:sz w:val="16"/>
        </w:rPr>
        <w:t> </w:t>
      </w:r>
      <w:r>
        <w:rPr>
          <w:sz w:val="16"/>
        </w:rPr>
        <w:t>toxic</w:t>
      </w:r>
      <w:r>
        <w:rPr>
          <w:spacing w:val="-1"/>
          <w:sz w:val="16"/>
        </w:rPr>
        <w:t> </w:t>
      </w:r>
      <w:r>
        <w:rPr>
          <w:sz w:val="16"/>
        </w:rPr>
        <w:t>as compared</w:t>
      </w:r>
      <w:r>
        <w:rPr>
          <w:spacing w:val="-1"/>
          <w:sz w:val="16"/>
        </w:rPr>
        <w:t> </w:t>
      </w:r>
      <w:r>
        <w:rPr>
          <w:sz w:val="16"/>
        </w:rPr>
        <w:t>to</w:t>
      </w:r>
      <w:r>
        <w:rPr>
          <w:spacing w:val="-1"/>
          <w:sz w:val="16"/>
        </w:rPr>
        <w:t> </w:t>
      </w:r>
      <w:r>
        <w:rPr>
          <w:sz w:val="16"/>
        </w:rPr>
        <w:t>polymeric nanoparticles. SLNs can</w:t>
      </w:r>
      <w:r>
        <w:rPr>
          <w:spacing w:val="-1"/>
          <w:sz w:val="16"/>
        </w:rPr>
        <w:t> </w:t>
      </w:r>
      <w:r>
        <w:rPr>
          <w:sz w:val="16"/>
        </w:rPr>
        <w:t>also</w:t>
      </w:r>
      <w:r>
        <w:rPr>
          <w:spacing w:val="-1"/>
          <w:sz w:val="16"/>
        </w:rPr>
        <w:t> </w:t>
      </w:r>
      <w:r>
        <w:rPr>
          <w:sz w:val="16"/>
        </w:rPr>
        <w:t>be</w:t>
      </w:r>
      <w:r>
        <w:rPr>
          <w:spacing w:val="-1"/>
          <w:sz w:val="16"/>
        </w:rPr>
        <w:t> </w:t>
      </w:r>
      <w:r>
        <w:rPr>
          <w:sz w:val="16"/>
        </w:rPr>
        <w:t>used</w:t>
      </w:r>
      <w:r>
        <w:rPr>
          <w:spacing w:val="-1"/>
          <w:sz w:val="16"/>
        </w:rPr>
        <w:t> </w:t>
      </w:r>
      <w:r>
        <w:rPr>
          <w:sz w:val="16"/>
        </w:rPr>
        <w:t>to</w:t>
      </w:r>
      <w:r>
        <w:rPr>
          <w:spacing w:val="-1"/>
          <w:sz w:val="16"/>
        </w:rPr>
        <w:t> </w:t>
      </w:r>
      <w:r>
        <w:rPr>
          <w:sz w:val="16"/>
        </w:rPr>
        <w:t>improve</w:t>
      </w:r>
      <w:r>
        <w:rPr>
          <w:spacing w:val="-1"/>
          <w:sz w:val="16"/>
        </w:rPr>
        <w:t> </w:t>
      </w:r>
      <w:r>
        <w:rPr>
          <w:sz w:val="16"/>
        </w:rPr>
        <w:t>the bioavalability of drugs. In</w:t>
      </w:r>
      <w:r>
        <w:rPr>
          <w:spacing w:val="40"/>
          <w:sz w:val="16"/>
        </w:rPr>
        <w:t> </w:t>
      </w:r>
      <w:r>
        <w:rPr>
          <w:sz w:val="16"/>
        </w:rPr>
        <w:t>this present review</w:t>
      </w:r>
      <w:r>
        <w:rPr>
          <w:spacing w:val="-2"/>
          <w:sz w:val="16"/>
        </w:rPr>
        <w:t> </w:t>
      </w:r>
      <w:r>
        <w:rPr>
          <w:sz w:val="16"/>
        </w:rPr>
        <w:t>this new</w:t>
      </w:r>
      <w:r>
        <w:rPr>
          <w:spacing w:val="-2"/>
          <w:sz w:val="16"/>
        </w:rPr>
        <w:t> </w:t>
      </w:r>
      <w:r>
        <w:rPr>
          <w:sz w:val="16"/>
        </w:rPr>
        <w:t>approach</w:t>
      </w:r>
      <w:r>
        <w:rPr>
          <w:spacing w:val="-1"/>
          <w:sz w:val="16"/>
        </w:rPr>
        <w:t> </w:t>
      </w:r>
      <w:r>
        <w:rPr>
          <w:sz w:val="16"/>
        </w:rPr>
        <w:t>is</w:t>
      </w:r>
      <w:r>
        <w:rPr>
          <w:spacing w:val="-2"/>
          <w:sz w:val="16"/>
        </w:rPr>
        <w:t> </w:t>
      </w:r>
      <w:r>
        <w:rPr>
          <w:sz w:val="16"/>
        </w:rPr>
        <w:t>discussed</w:t>
      </w:r>
      <w:r>
        <w:rPr>
          <w:spacing w:val="-1"/>
          <w:sz w:val="16"/>
        </w:rPr>
        <w:t> </w:t>
      </w:r>
      <w:r>
        <w:rPr>
          <w:sz w:val="16"/>
        </w:rPr>
        <w:t>in terms of</w:t>
      </w:r>
      <w:r>
        <w:rPr>
          <w:spacing w:val="-3"/>
          <w:sz w:val="16"/>
        </w:rPr>
        <w:t> </w:t>
      </w:r>
      <w:r>
        <w:rPr>
          <w:sz w:val="16"/>
        </w:rPr>
        <w:t>their advantages, characterization, pharmacokinetic studies, in-vivo studies, in-vitro studies, and</w:t>
      </w:r>
      <w:r>
        <w:rPr>
          <w:spacing w:val="40"/>
          <w:sz w:val="16"/>
        </w:rPr>
        <w:t> </w:t>
      </w:r>
      <w:r>
        <w:rPr>
          <w:sz w:val="16"/>
        </w:rPr>
        <w:t>special features.</w:t>
      </w:r>
    </w:p>
    <w:p>
      <w:pPr>
        <w:spacing w:line="226" w:lineRule="exact" w:before="0"/>
        <w:ind w:left="141" w:right="0" w:firstLine="0"/>
        <w:jc w:val="both"/>
        <w:rPr>
          <w:sz w:val="20"/>
        </w:rPr>
      </w:pPr>
      <w:r>
        <w:rPr>
          <w:b/>
          <w:sz w:val="16"/>
        </w:rPr>
        <w:t>KEYWORDS:</w:t>
      </w:r>
      <w:r>
        <w:rPr>
          <w:b/>
          <w:spacing w:val="-3"/>
          <w:sz w:val="16"/>
        </w:rPr>
        <w:t> </w:t>
      </w:r>
      <w:r>
        <w:rPr>
          <w:sz w:val="16"/>
        </w:rPr>
        <w:t>Nanotechnology,</w:t>
      </w:r>
      <w:r>
        <w:rPr>
          <w:spacing w:val="29"/>
          <w:sz w:val="16"/>
        </w:rPr>
        <w:t> </w:t>
      </w:r>
      <w:r>
        <w:rPr>
          <w:sz w:val="16"/>
        </w:rPr>
        <w:t>Solid</w:t>
      </w:r>
      <w:r>
        <w:rPr>
          <w:spacing w:val="-5"/>
          <w:sz w:val="16"/>
        </w:rPr>
        <w:t> </w:t>
      </w:r>
      <w:r>
        <w:rPr>
          <w:sz w:val="16"/>
        </w:rPr>
        <w:t>lipid</w:t>
      </w:r>
      <w:r>
        <w:rPr>
          <w:spacing w:val="-6"/>
          <w:sz w:val="16"/>
        </w:rPr>
        <w:t> </w:t>
      </w:r>
      <w:r>
        <w:rPr>
          <w:sz w:val="16"/>
        </w:rPr>
        <w:t>nanoparticle,</w:t>
      </w:r>
      <w:r>
        <w:rPr>
          <w:spacing w:val="-3"/>
          <w:sz w:val="16"/>
        </w:rPr>
        <w:t> </w:t>
      </w:r>
      <w:r>
        <w:rPr>
          <w:sz w:val="16"/>
        </w:rPr>
        <w:t>Colloidal carriers,</w:t>
      </w:r>
      <w:r>
        <w:rPr>
          <w:spacing w:val="-3"/>
          <w:sz w:val="16"/>
        </w:rPr>
        <w:t> </w:t>
      </w:r>
      <w:r>
        <w:rPr>
          <w:sz w:val="16"/>
        </w:rPr>
        <w:t>Bioavailability</w:t>
      </w:r>
      <w:r>
        <w:rPr>
          <w:spacing w:val="-6"/>
          <w:sz w:val="16"/>
        </w:rPr>
        <w:t> </w:t>
      </w:r>
      <w:r>
        <w:rPr>
          <w:spacing w:val="-2"/>
          <w:sz w:val="16"/>
        </w:rPr>
        <w:t>enhancement</w:t>
      </w:r>
      <w:r>
        <w:rPr>
          <w:spacing w:val="-2"/>
          <w:sz w:val="20"/>
        </w:rPr>
        <w:t>.</w:t>
      </w:r>
    </w:p>
    <w:p>
      <w:pPr>
        <w:pStyle w:val="BodyText"/>
        <w:spacing w:before="5"/>
        <w:ind w:left="0"/>
        <w:jc w:val="left"/>
        <w:rPr>
          <w:sz w:val="14"/>
        </w:rPr>
      </w:pPr>
    </w:p>
    <w:p>
      <w:pPr>
        <w:pStyle w:val="BodyText"/>
        <w:spacing w:after="0"/>
        <w:jc w:val="left"/>
        <w:rPr>
          <w:sz w:val="14"/>
        </w:rPr>
        <w:sectPr>
          <w:headerReference w:type="default" r:id="rId5"/>
          <w:footerReference w:type="default" r:id="rId6"/>
          <w:type w:val="continuous"/>
          <w:pgSz w:w="11900" w:h="16820"/>
          <w:pgMar w:header="609" w:footer="849" w:top="1080" w:bottom="1040" w:left="708" w:right="708"/>
          <w:pgNumType w:start="100"/>
        </w:sectPr>
      </w:pPr>
    </w:p>
    <w:p>
      <w:pPr>
        <w:pStyle w:val="Heading2"/>
        <w:spacing w:before="67"/>
      </w:pPr>
      <w:r>
        <w:rPr>
          <w:spacing w:val="-2"/>
        </w:rPr>
        <w:t>INTRODUCTION</w:t>
      </w:r>
    </w:p>
    <w:p>
      <w:pPr>
        <w:pStyle w:val="BodyText"/>
        <w:ind w:right="38"/>
      </w:pPr>
      <w:r>
        <w:rPr/>
        <w:t>A high potential for drug delivery has been attributed to particulate drug carriers, especially small particles such as microparticles and colloidal system in nanometer range.</w:t>
      </w:r>
      <w:r>
        <w:rPr>
          <w:vertAlign w:val="superscript"/>
        </w:rPr>
        <w:t>1</w:t>
      </w:r>
      <w:r>
        <w:rPr>
          <w:vertAlign w:val="baseline"/>
        </w:rPr>
        <w:t> Nano particulate drug delivery system may offer plenty of advantages over conventional dosage forms which include improved, reduced toxicity, enhancedbio distribution and improved patient compliance</w:t>
      </w:r>
      <w:r>
        <w:rPr>
          <w:vertAlign w:val="superscript"/>
        </w:rPr>
        <w:t>2.</w:t>
      </w:r>
      <w:r>
        <w:rPr>
          <w:vertAlign w:val="baseline"/>
        </w:rPr>
        <w:t> Colloidal particles ranging in size between 10 and 1000 nm are known as nanoparticles. They are manufactured from synthetic/natural polymers and ideally suited to optimize drug delivery and reduce toxicity. Over the years, they have emerged as a variable substitute to liposomes as drug carriers. The successful implementation of nanoparticles for drug delivery depends on their ability to penetrate through several anatomical barriers, sustained release of their contents and their stability in the nanometer size. However, the scarcity of safe polymers with regulatory approval and their high cost have limited the wide spread application of nanoparticles to clinical medicine </w:t>
      </w:r>
      <w:r>
        <w:rPr>
          <w:vertAlign w:val="superscript"/>
        </w:rPr>
        <w:t>3</w:t>
      </w:r>
      <w:r>
        <w:rPr>
          <w:vertAlign w:val="baseline"/>
        </w:rPr>
        <w:t>.To overcome these limitations of polymeric nanoparticles, lipids have been put forward as an alternative carrier, particularly for lipophilic pharmaceuticals. These lipid nanoparticles are known as solid lipid nanoparticles (SLNs), which are attracting wide attention of formulators world-wide.</w:t>
      </w:r>
      <w:r>
        <w:rPr>
          <w:vertAlign w:val="superscript"/>
        </w:rPr>
        <w:t>4</w:t>
      </w:r>
      <w:r>
        <w:rPr>
          <w:vertAlign w:val="baseline"/>
        </w:rPr>
        <w:t> SLNs are colloidal carriers developed in the last decade as an </w:t>
      </w:r>
      <w:r>
        <w:rPr>
          <w:spacing w:val="-2"/>
          <w:vertAlign w:val="baseline"/>
        </w:rPr>
        <w:t>alternative</w:t>
      </w:r>
    </w:p>
    <w:p>
      <w:pPr>
        <w:pStyle w:val="BodyText"/>
        <w:ind w:right="39"/>
      </w:pPr>
      <w:r>
        <w:rPr/>
        <w:t>system to the existing traditional carriers (emulsions, liposomes and polymeric nanoparticles). They are a new generation of submicron-sized lipid emulsions where the liquid lipid (oil) has been substituted by a solid lipid. SLN offer unique properties such as small size, large surface area, high drug loading and the interaction of phases at the interfaces, and are attractive for their potential to improve performance of pharmaceuticals, neutraceuticals and other </w:t>
      </w:r>
      <w:r>
        <w:rPr>
          <w:spacing w:val="-2"/>
        </w:rPr>
        <w:t>materials.</w:t>
      </w:r>
      <w:r>
        <w:rPr>
          <w:spacing w:val="-2"/>
          <w:vertAlign w:val="superscript"/>
        </w:rPr>
        <w:t>5.</w:t>
      </w:r>
    </w:p>
    <w:p>
      <w:pPr>
        <w:pStyle w:val="Heading3"/>
        <w:spacing w:before="2"/>
        <w:jc w:val="left"/>
      </w:pPr>
      <w:r>
        <w:rPr>
          <w:spacing w:val="-2"/>
        </w:rPr>
        <w:t>Nanotechnology</w:t>
      </w:r>
    </w:p>
    <w:p>
      <w:pPr>
        <w:pStyle w:val="BodyText"/>
        <w:spacing w:line="237" w:lineRule="auto"/>
        <w:ind w:right="39"/>
      </w:pPr>
      <w:r>
        <w:rPr/>
        <w:t>Nanotechnology is the science of matter and material that</w:t>
      </w:r>
      <w:r>
        <w:rPr>
          <w:spacing w:val="40"/>
        </w:rPr>
        <w:t> </w:t>
      </w:r>
      <w:r>
        <w:rPr/>
        <w:t>deal with the particle size in nanometers. These are small colloidal particles that are made of nonbiodegradable &amp; biodegradable polymers and their diameter is around 200nm</w:t>
      </w:r>
      <w:r>
        <w:rPr>
          <w:vertAlign w:val="superscript"/>
        </w:rPr>
        <w:t>6</w:t>
      </w:r>
    </w:p>
    <w:p>
      <w:pPr>
        <w:pStyle w:val="Heading3"/>
        <w:spacing w:before="67"/>
        <w:jc w:val="left"/>
      </w:pPr>
      <w:r>
        <w:rPr>
          <w:b w:val="0"/>
        </w:rPr>
        <w:br w:type="column"/>
      </w:r>
      <w:r>
        <w:rPr>
          <w:spacing w:val="-2"/>
        </w:rPr>
        <w:t>Nanoparticles</w:t>
      </w:r>
    </w:p>
    <w:p>
      <w:pPr>
        <w:pStyle w:val="BodyText"/>
        <w:ind w:right="132"/>
      </w:pPr>
      <w:r>
        <w:rPr/>
        <w:t>Nanoparticles are solid polymeric, submicronic colloidal system range between 5-300nm consisting of</w:t>
      </w:r>
      <w:r>
        <w:rPr>
          <w:spacing w:val="40"/>
        </w:rPr>
        <w:t> </w:t>
      </w:r>
      <w:r>
        <w:rPr/>
        <w:t>macromolecular substances that vary</w:t>
      </w:r>
      <w:r>
        <w:rPr>
          <w:spacing w:val="-5"/>
        </w:rPr>
        <w:t> </w:t>
      </w:r>
      <w:r>
        <w:rPr/>
        <w:t>in size 10nm to</w:t>
      </w:r>
      <w:r>
        <w:rPr>
          <w:spacing w:val="-1"/>
        </w:rPr>
        <w:t> </w:t>
      </w:r>
      <w:r>
        <w:rPr/>
        <w:t>100nm. The drug of interest is dissolved, entrapped, adsorbed, attached or encapsulated into the nanoparticle matrix</w:t>
      </w:r>
      <w:r>
        <w:rPr>
          <w:vertAlign w:val="superscript"/>
        </w:rPr>
        <w:t>.7</w:t>
      </w:r>
      <w:r>
        <w:rPr>
          <w:vertAlign w:val="baseline"/>
        </w:rPr>
        <w:t> In recent years, significant effort has been devoted to develop nanotechnology for drug delivery, since it offers a suitable means of</w:t>
      </w:r>
      <w:r>
        <w:rPr>
          <w:spacing w:val="-1"/>
          <w:vertAlign w:val="baseline"/>
        </w:rPr>
        <w:t> </w:t>
      </w:r>
      <w:r>
        <w:rPr>
          <w:vertAlign w:val="baseline"/>
        </w:rPr>
        <w:t>delivering small molecular weight drugs, as well as macromolecules such as proteins, peptides or genes to cells and tissue. Nanoparticles hold promise for peroral drug delivery, which represents so far the most common and convenient route of administration.</w:t>
      </w:r>
    </w:p>
    <w:p>
      <w:pPr>
        <w:pStyle w:val="BodyText"/>
        <w:ind w:right="132"/>
      </w:pPr>
      <w:r>
        <w:rPr/>
        <w:t>The advantages of using nano particles for nanoparticles loaded with drugs, because of their small size can penetrate through small capillaries and are taken up by cells and allow the drug release at right rate and dose at specific sites in the body</w:t>
      </w:r>
      <w:r>
        <w:rPr>
          <w:spacing w:val="-4"/>
        </w:rPr>
        <w:t> </w:t>
      </w:r>
      <w:r>
        <w:rPr/>
        <w:t>for a certain time</w:t>
      </w:r>
      <w:r>
        <w:rPr>
          <w:spacing w:val="-3"/>
        </w:rPr>
        <w:t> </w:t>
      </w:r>
      <w:r>
        <w:rPr/>
        <w:t>to</w:t>
      </w:r>
      <w:r>
        <w:rPr>
          <w:spacing w:val="-8"/>
        </w:rPr>
        <w:t> </w:t>
      </w:r>
      <w:r>
        <w:rPr/>
        <w:t>release</w:t>
      </w:r>
      <w:r>
        <w:rPr>
          <w:spacing w:val="-3"/>
        </w:rPr>
        <w:t> </w:t>
      </w:r>
      <w:r>
        <w:rPr/>
        <w:t>the</w:t>
      </w:r>
      <w:r>
        <w:rPr>
          <w:spacing w:val="-8"/>
        </w:rPr>
        <w:t> </w:t>
      </w:r>
      <w:r>
        <w:rPr/>
        <w:t>accurate</w:t>
      </w:r>
      <w:r>
        <w:rPr>
          <w:spacing w:val="-3"/>
        </w:rPr>
        <w:t> </w:t>
      </w:r>
      <w:r>
        <w:rPr/>
        <w:t>delivery, which enhances the therapeutic effect and reduces the toxicity and side effects. The use of biodegradable materials for nanoparticles preparation allows sustained release within the target site over a period of days or even weeks. The advantages of nanoparticles as drug delivery system are that they are biodegradable, non-toxic, and capable of being</w:t>
      </w:r>
      <w:r>
        <w:rPr>
          <w:spacing w:val="40"/>
        </w:rPr>
        <w:t> </w:t>
      </w:r>
      <w:r>
        <w:rPr/>
        <w:t>stored</w:t>
      </w:r>
      <w:r>
        <w:rPr>
          <w:spacing w:val="-6"/>
        </w:rPr>
        <w:t> </w:t>
      </w:r>
      <w:r>
        <w:rPr/>
        <w:t>for</w:t>
      </w:r>
      <w:r>
        <w:rPr>
          <w:spacing w:val="-2"/>
        </w:rPr>
        <w:t> </w:t>
      </w:r>
      <w:r>
        <w:rPr/>
        <w:t>longer</w:t>
      </w:r>
      <w:r>
        <w:rPr>
          <w:spacing w:val="-2"/>
        </w:rPr>
        <w:t> </w:t>
      </w:r>
      <w:r>
        <w:rPr/>
        <w:t>periods.</w:t>
      </w:r>
      <w:r>
        <w:rPr>
          <w:spacing w:val="-4"/>
        </w:rPr>
        <w:t> </w:t>
      </w:r>
      <w:r>
        <w:rPr/>
        <w:t>In</w:t>
      </w:r>
      <w:r>
        <w:rPr>
          <w:spacing w:val="-2"/>
        </w:rPr>
        <w:t> </w:t>
      </w:r>
      <w:r>
        <w:rPr/>
        <w:t>addition,</w:t>
      </w:r>
      <w:r>
        <w:rPr>
          <w:spacing w:val="-4"/>
        </w:rPr>
        <w:t> </w:t>
      </w:r>
      <w:r>
        <w:rPr/>
        <w:t>their</w:t>
      </w:r>
      <w:r>
        <w:rPr>
          <w:spacing w:val="-2"/>
        </w:rPr>
        <w:t> </w:t>
      </w:r>
      <w:r>
        <w:rPr/>
        <w:t>potential</w:t>
      </w:r>
      <w:r>
        <w:rPr>
          <w:spacing w:val="-5"/>
        </w:rPr>
        <w:t> </w:t>
      </w:r>
      <w:r>
        <w:rPr/>
        <w:t>uptake</w:t>
      </w:r>
      <w:r>
        <w:rPr>
          <w:spacing w:val="-10"/>
        </w:rPr>
        <w:t> </w:t>
      </w:r>
      <w:r>
        <w:rPr/>
        <w:t>as well as their stability in the GIT that indicates that nanoparticles</w:t>
      </w:r>
      <w:r>
        <w:rPr>
          <w:spacing w:val="-3"/>
        </w:rPr>
        <w:t> </w:t>
      </w:r>
      <w:r>
        <w:rPr/>
        <w:t>are</w:t>
      </w:r>
      <w:r>
        <w:rPr>
          <w:spacing w:val="-4"/>
        </w:rPr>
        <w:t> </w:t>
      </w:r>
      <w:r>
        <w:rPr/>
        <w:t>expected</w:t>
      </w:r>
      <w:r>
        <w:rPr>
          <w:spacing w:val="-2"/>
        </w:rPr>
        <w:t> </w:t>
      </w:r>
      <w:r>
        <w:rPr/>
        <w:t>to</w:t>
      </w:r>
      <w:r>
        <w:rPr>
          <w:spacing w:val="-5"/>
        </w:rPr>
        <w:t> </w:t>
      </w:r>
      <w:r>
        <w:rPr/>
        <w:t>be</w:t>
      </w:r>
      <w:r>
        <w:rPr>
          <w:spacing w:val="-4"/>
        </w:rPr>
        <w:t> </w:t>
      </w:r>
      <w:r>
        <w:rPr/>
        <w:t>the</w:t>
      </w:r>
      <w:r>
        <w:rPr>
          <w:spacing w:val="-4"/>
        </w:rPr>
        <w:t> </w:t>
      </w:r>
      <w:r>
        <w:rPr/>
        <w:t>promising</w:t>
      </w:r>
      <w:r>
        <w:rPr>
          <w:spacing w:val="-5"/>
        </w:rPr>
        <w:t> </w:t>
      </w:r>
      <w:r>
        <w:rPr/>
        <w:t>carriers</w:t>
      </w:r>
      <w:r>
        <w:rPr>
          <w:spacing w:val="-3"/>
        </w:rPr>
        <w:t> </w:t>
      </w:r>
      <w:r>
        <w:rPr/>
        <w:t>for the transport of drugs. These attributes make nanoparticles more suitable</w:t>
      </w:r>
      <w:r>
        <w:rPr>
          <w:spacing w:val="-5"/>
        </w:rPr>
        <w:t> </w:t>
      </w:r>
      <w:r>
        <w:rPr/>
        <w:t>for the</w:t>
      </w:r>
      <w:r>
        <w:rPr>
          <w:spacing w:val="-5"/>
        </w:rPr>
        <w:t> </w:t>
      </w:r>
      <w:r>
        <w:rPr/>
        <w:t>purpose</w:t>
      </w:r>
      <w:r>
        <w:rPr>
          <w:spacing w:val="-5"/>
        </w:rPr>
        <w:t> </w:t>
      </w:r>
      <w:r>
        <w:rPr/>
        <w:t>of</w:t>
      </w:r>
      <w:r>
        <w:rPr>
          <w:spacing w:val="-6"/>
        </w:rPr>
        <w:t> </w:t>
      </w:r>
      <w:r>
        <w:rPr/>
        <w:t>sustained</w:t>
      </w:r>
      <w:r>
        <w:rPr>
          <w:spacing w:val="-6"/>
        </w:rPr>
        <w:t> </w:t>
      </w:r>
      <w:r>
        <w:rPr/>
        <w:t>release</w:t>
      </w:r>
      <w:r>
        <w:rPr>
          <w:spacing w:val="-5"/>
        </w:rPr>
        <w:t> </w:t>
      </w:r>
      <w:r>
        <w:rPr/>
        <w:t>and</w:t>
      </w:r>
      <w:r>
        <w:rPr>
          <w:spacing w:val="-2"/>
        </w:rPr>
        <w:t> </w:t>
      </w:r>
      <w:r>
        <w:rPr/>
        <w:t>improvement of bioavailability</w:t>
      </w:r>
      <w:r>
        <w:rPr>
          <w:vertAlign w:val="superscript"/>
        </w:rPr>
        <w:t>8</w:t>
      </w:r>
    </w:p>
    <w:p>
      <w:pPr>
        <w:pStyle w:val="Heading2"/>
        <w:jc w:val="both"/>
      </w:pPr>
      <w:r>
        <w:rPr/>
        <w:t>SOLID</w:t>
      </w:r>
      <w:r>
        <w:rPr>
          <w:spacing w:val="-5"/>
        </w:rPr>
        <w:t> </w:t>
      </w:r>
      <w:r>
        <w:rPr/>
        <w:t>LIQUID</w:t>
      </w:r>
      <w:r>
        <w:rPr>
          <w:spacing w:val="-8"/>
        </w:rPr>
        <w:t> </w:t>
      </w:r>
      <w:r>
        <w:rPr>
          <w:spacing w:val="-2"/>
        </w:rPr>
        <w:t>NANOPARTICLES</w:t>
      </w:r>
    </w:p>
    <w:p>
      <w:pPr>
        <w:pStyle w:val="BodyText"/>
        <w:ind w:right="132"/>
      </w:pPr>
      <w:r>
        <w:rPr/>
        <w:t>Solid lipid nanoparticles (SLNs) are considered to be the</w:t>
      </w:r>
      <w:r>
        <w:rPr>
          <w:spacing w:val="40"/>
        </w:rPr>
        <w:t> </w:t>
      </w:r>
      <w:r>
        <w:rPr/>
        <w:t>most effective lipid based colloidal carriers (fig 1),</w:t>
      </w:r>
      <w:r>
        <w:rPr>
          <w:spacing w:val="40"/>
        </w:rPr>
        <w:t> </w:t>
      </w:r>
      <w:r>
        <w:rPr/>
        <w:t>introduced in early nineties. This is the one of the most popular approaches to improve the oral bioavailability of the poorly water soluble drugs. SLNs are in the range of submicron size (50-1000 nm) and are composed of physiologically</w:t>
      </w:r>
      <w:r>
        <w:rPr>
          <w:spacing w:val="-4"/>
        </w:rPr>
        <w:t> </w:t>
      </w:r>
      <w:r>
        <w:rPr/>
        <w:t>tolerated lipid components which are in solid state at room temperature</w:t>
      </w:r>
      <w:r>
        <w:rPr>
          <w:vertAlign w:val="superscript"/>
        </w:rPr>
        <w:t>.9,10</w:t>
      </w:r>
      <w:r>
        <w:rPr>
          <w:vertAlign w:val="baseline"/>
        </w:rPr>
        <w:t> They have many advantages such as good biocompatibility, low toxicity andlipophillic drugs are better</w:t>
      </w:r>
      <w:r>
        <w:rPr>
          <w:spacing w:val="7"/>
          <w:vertAlign w:val="baseline"/>
        </w:rPr>
        <w:t> </w:t>
      </w:r>
      <w:r>
        <w:rPr>
          <w:vertAlign w:val="baseline"/>
        </w:rPr>
        <w:t>delivered</w:t>
      </w:r>
      <w:r>
        <w:rPr>
          <w:spacing w:val="2"/>
          <w:vertAlign w:val="baseline"/>
        </w:rPr>
        <w:t> </w:t>
      </w:r>
      <w:r>
        <w:rPr>
          <w:vertAlign w:val="baseline"/>
        </w:rPr>
        <w:t>by</w:t>
      </w:r>
      <w:r>
        <w:rPr>
          <w:spacing w:val="-6"/>
          <w:vertAlign w:val="baseline"/>
        </w:rPr>
        <w:t> </w:t>
      </w:r>
      <w:r>
        <w:rPr>
          <w:vertAlign w:val="baseline"/>
        </w:rPr>
        <w:t>solid</w:t>
      </w:r>
      <w:r>
        <w:rPr>
          <w:spacing w:val="3"/>
          <w:vertAlign w:val="baseline"/>
        </w:rPr>
        <w:t> </w:t>
      </w:r>
      <w:r>
        <w:rPr>
          <w:vertAlign w:val="baseline"/>
        </w:rPr>
        <w:t>lipid</w:t>
      </w:r>
      <w:r>
        <w:rPr>
          <w:spacing w:val="-2"/>
          <w:vertAlign w:val="baseline"/>
        </w:rPr>
        <w:t> </w:t>
      </w:r>
      <w:r>
        <w:rPr>
          <w:vertAlign w:val="baseline"/>
        </w:rPr>
        <w:t>nanoparticles and</w:t>
      </w:r>
      <w:r>
        <w:rPr>
          <w:spacing w:val="3"/>
          <w:vertAlign w:val="baseline"/>
        </w:rPr>
        <w:t> </w:t>
      </w:r>
      <w:r>
        <w:rPr>
          <w:spacing w:val="-5"/>
          <w:vertAlign w:val="baseline"/>
        </w:rPr>
        <w:t>the</w:t>
      </w:r>
    </w:p>
    <w:p>
      <w:pPr>
        <w:pStyle w:val="BodyText"/>
        <w:spacing w:after="0"/>
        <w:sectPr>
          <w:type w:val="continuous"/>
          <w:pgSz w:w="11900" w:h="16820"/>
          <w:pgMar w:header="609" w:footer="849" w:top="1080" w:bottom="1040" w:left="708" w:right="708"/>
          <w:cols w:num="2" w:equalWidth="0">
            <w:col w:w="5145" w:space="101"/>
            <w:col w:w="5238"/>
          </w:cols>
        </w:sectPr>
      </w:pPr>
    </w:p>
    <w:p>
      <w:pPr>
        <w:pStyle w:val="BodyText"/>
        <w:spacing w:before="93"/>
        <w:ind w:right="38"/>
      </w:pPr>
      <w:r>
        <w:rPr/>
        <w:t>system is</w:t>
      </w:r>
      <w:r>
        <w:rPr>
          <w:spacing w:val="-1"/>
        </w:rPr>
        <w:t> </w:t>
      </w:r>
      <w:r>
        <w:rPr/>
        <w:t>physically</w:t>
      </w:r>
      <w:r>
        <w:rPr>
          <w:spacing w:val="-4"/>
        </w:rPr>
        <w:t> </w:t>
      </w:r>
      <w:r>
        <w:rPr/>
        <w:t>stable</w:t>
      </w:r>
      <w:r>
        <w:rPr>
          <w:vertAlign w:val="superscript"/>
        </w:rPr>
        <w:t>.11</w:t>
      </w:r>
      <w:r>
        <w:rPr>
          <w:vertAlign w:val="baseline"/>
        </w:rPr>
        <w:t> Solid lipid</w:t>
      </w:r>
      <w:r>
        <w:rPr>
          <w:spacing w:val="-4"/>
          <w:vertAlign w:val="baseline"/>
        </w:rPr>
        <w:t> </w:t>
      </w:r>
      <w:r>
        <w:rPr>
          <w:vertAlign w:val="baseline"/>
        </w:rPr>
        <w:t>nanoparticles</w:t>
      </w:r>
      <w:r>
        <w:rPr>
          <w:spacing w:val="-1"/>
          <w:vertAlign w:val="baseline"/>
        </w:rPr>
        <w:t> </w:t>
      </w:r>
      <w:r>
        <w:rPr>
          <w:vertAlign w:val="baseline"/>
        </w:rPr>
        <w:t>may</w:t>
      </w:r>
      <w:r>
        <w:rPr>
          <w:spacing w:val="-4"/>
          <w:vertAlign w:val="baseline"/>
        </w:rPr>
        <w:t> </w:t>
      </w:r>
      <w:r>
        <w:rPr>
          <w:vertAlign w:val="baseline"/>
        </w:rPr>
        <w:t>be a promising sustained</w:t>
      </w:r>
      <w:r>
        <w:rPr>
          <w:spacing w:val="-1"/>
          <w:vertAlign w:val="baseline"/>
        </w:rPr>
        <w:t> </w:t>
      </w:r>
      <w:r>
        <w:rPr>
          <w:vertAlign w:val="baseline"/>
        </w:rPr>
        <w:t>–</w:t>
      </w:r>
      <w:r>
        <w:rPr>
          <w:spacing w:val="-1"/>
          <w:vertAlign w:val="baseline"/>
        </w:rPr>
        <w:t> </w:t>
      </w:r>
      <w:r>
        <w:rPr>
          <w:vertAlign w:val="baseline"/>
        </w:rPr>
        <w:t>release and</w:t>
      </w:r>
      <w:r>
        <w:rPr>
          <w:spacing w:val="-1"/>
          <w:vertAlign w:val="baseline"/>
        </w:rPr>
        <w:t> </w:t>
      </w:r>
      <w:r>
        <w:rPr>
          <w:vertAlign w:val="baseline"/>
        </w:rPr>
        <w:t>drug</w:t>
      </w:r>
      <w:r>
        <w:rPr>
          <w:spacing w:val="-1"/>
          <w:vertAlign w:val="baseline"/>
        </w:rPr>
        <w:t> </w:t>
      </w:r>
      <w:r>
        <w:rPr>
          <w:vertAlign w:val="baseline"/>
        </w:rPr>
        <w:t>targeting system for lipophilic CNS antitumor drugs</w:t>
      </w:r>
      <w:r>
        <w:rPr>
          <w:vertAlign w:val="superscript"/>
        </w:rPr>
        <w:t>.12</w:t>
      </w:r>
    </w:p>
    <w:p>
      <w:pPr>
        <w:pStyle w:val="Heading2"/>
        <w:spacing w:before="6"/>
      </w:pPr>
      <w:r>
        <w:rPr/>
        <w:t>ADVANTAGES</w:t>
      </w:r>
      <w:r>
        <w:rPr>
          <w:spacing w:val="-12"/>
        </w:rPr>
        <w:t> </w:t>
      </w:r>
      <w:r>
        <w:rPr/>
        <w:t>OF</w:t>
      </w:r>
      <w:r>
        <w:rPr>
          <w:spacing w:val="-7"/>
        </w:rPr>
        <w:t> </w:t>
      </w:r>
      <w:r>
        <w:rPr>
          <w:spacing w:val="-4"/>
        </w:rPr>
        <w:t>SLNS</w:t>
      </w:r>
    </w:p>
    <w:p>
      <w:pPr>
        <w:pStyle w:val="BodyText"/>
        <w:ind w:right="38"/>
      </w:pPr>
      <w:r>
        <w:rPr/>
        <w:t>SLNs combine the advantage s of polymeric nanoparticles,</w:t>
      </w:r>
      <w:r>
        <w:rPr>
          <w:spacing w:val="40"/>
        </w:rPr>
        <w:t> </w:t>
      </w:r>
      <w:r>
        <w:rPr/>
        <w:t>fat emulsions and liposomes.</w:t>
      </w:r>
    </w:p>
    <w:p>
      <w:pPr>
        <w:pStyle w:val="BodyText"/>
        <w:spacing w:line="237" w:lineRule="auto" w:before="1"/>
        <w:ind w:right="39"/>
      </w:pPr>
      <w:r>
        <w:rPr/>
        <w:t>i.</w:t>
      </w:r>
      <w:r>
        <w:rPr>
          <w:spacing w:val="80"/>
        </w:rPr>
        <w:t> </w:t>
      </w:r>
      <w:r>
        <w:rPr/>
        <w:t>Controlled</w:t>
      </w:r>
      <w:r>
        <w:rPr>
          <w:spacing w:val="-5"/>
        </w:rPr>
        <w:t> </w:t>
      </w:r>
      <w:r>
        <w:rPr/>
        <w:t>release</w:t>
      </w:r>
      <w:r>
        <w:rPr>
          <w:spacing w:val="-4"/>
        </w:rPr>
        <w:t> </w:t>
      </w:r>
      <w:r>
        <w:rPr/>
        <w:t>of</w:t>
      </w:r>
      <w:r>
        <w:rPr>
          <w:spacing w:val="-5"/>
        </w:rPr>
        <w:t> </w:t>
      </w:r>
      <w:r>
        <w:rPr/>
        <w:t>the</w:t>
      </w:r>
      <w:r>
        <w:rPr>
          <w:spacing w:val="-4"/>
        </w:rPr>
        <w:t> </w:t>
      </w:r>
      <w:r>
        <w:rPr/>
        <w:t>incorporated</w:t>
      </w:r>
      <w:r>
        <w:rPr>
          <w:spacing w:val="-1"/>
        </w:rPr>
        <w:t> </w:t>
      </w:r>
      <w:r>
        <w:rPr/>
        <w:t>can</w:t>
      </w:r>
      <w:r>
        <w:rPr>
          <w:spacing w:val="-1"/>
        </w:rPr>
        <w:t> </w:t>
      </w:r>
      <w:r>
        <w:rPr/>
        <w:t>be</w:t>
      </w:r>
      <w:r>
        <w:rPr>
          <w:spacing w:val="-4"/>
        </w:rPr>
        <w:t> </w:t>
      </w:r>
      <w:r>
        <w:rPr/>
        <w:t>achieved</w:t>
      </w:r>
      <w:r>
        <w:rPr>
          <w:spacing w:val="-1"/>
        </w:rPr>
        <w:t> </w:t>
      </w:r>
      <w:r>
        <w:rPr/>
        <w:t>for several weeks. Further, by coating with or attaching ligands</w:t>
      </w:r>
      <w:r>
        <w:rPr>
          <w:spacing w:val="40"/>
        </w:rPr>
        <w:t> </w:t>
      </w:r>
      <w:r>
        <w:rPr/>
        <w:t>to SLNs, there is an increased scope of drug targeting.</w:t>
      </w:r>
    </w:p>
    <w:p>
      <w:pPr>
        <w:pStyle w:val="BodyText"/>
        <w:spacing w:before="4"/>
        <w:ind w:right="38"/>
      </w:pPr>
      <w:r>
        <w:rPr/>
        <w:t>iі.</w:t>
      </w:r>
      <w:r>
        <w:rPr>
          <w:spacing w:val="80"/>
          <w:w w:val="150"/>
        </w:rPr>
        <w:t> </w:t>
      </w:r>
      <w:r>
        <w:rPr/>
        <w:t>The nanoparticles and SLNs particularly those in the range of 120-200 nm are not taken up readily by the cells of the RES (Reticuloendothelial System) and bypass thus liver and spleen filtration</w:t>
      </w:r>
      <w:r>
        <w:rPr>
          <w:vertAlign w:val="superscript"/>
        </w:rPr>
        <w:t>13</w:t>
      </w:r>
    </w:p>
    <w:p>
      <w:pPr>
        <w:pStyle w:val="ListParagraph"/>
        <w:numPr>
          <w:ilvl w:val="0"/>
          <w:numId w:val="1"/>
        </w:numPr>
        <w:tabs>
          <w:tab w:pos="508" w:val="left" w:leader="none"/>
        </w:tabs>
        <w:spacing w:line="229" w:lineRule="exact" w:before="0" w:after="0"/>
        <w:ind w:left="508" w:right="0" w:hanging="367"/>
        <w:jc w:val="both"/>
        <w:rPr>
          <w:sz w:val="20"/>
        </w:rPr>
      </w:pPr>
      <w:r>
        <w:rPr>
          <w:sz w:val="20"/>
        </w:rPr>
        <w:t>Very</w:t>
      </w:r>
      <w:r>
        <w:rPr>
          <w:spacing w:val="-12"/>
          <w:sz w:val="20"/>
        </w:rPr>
        <w:t> </w:t>
      </w:r>
      <w:r>
        <w:rPr>
          <w:sz w:val="20"/>
        </w:rPr>
        <w:t>high</w:t>
      </w:r>
      <w:r>
        <w:rPr>
          <w:spacing w:val="-3"/>
          <w:sz w:val="20"/>
        </w:rPr>
        <w:t> </w:t>
      </w:r>
      <w:r>
        <w:rPr>
          <w:sz w:val="20"/>
        </w:rPr>
        <w:t>long-term</w:t>
      </w:r>
      <w:r>
        <w:rPr>
          <w:spacing w:val="-5"/>
          <w:sz w:val="20"/>
        </w:rPr>
        <w:t> </w:t>
      </w:r>
      <w:r>
        <w:rPr>
          <w:spacing w:val="-2"/>
          <w:sz w:val="20"/>
        </w:rPr>
        <w:t>stability.</w:t>
      </w:r>
    </w:p>
    <w:p>
      <w:pPr>
        <w:pStyle w:val="ListParagraph"/>
        <w:numPr>
          <w:ilvl w:val="0"/>
          <w:numId w:val="1"/>
        </w:numPr>
        <w:tabs>
          <w:tab w:pos="500" w:val="left" w:leader="none"/>
        </w:tabs>
        <w:spacing w:line="240" w:lineRule="auto" w:before="0" w:after="0"/>
        <w:ind w:left="500" w:right="0" w:hanging="359"/>
        <w:jc w:val="both"/>
        <w:rPr>
          <w:sz w:val="20"/>
        </w:rPr>
      </w:pPr>
      <w:r>
        <w:rPr>
          <w:sz w:val="20"/>
        </w:rPr>
        <w:t>High</w:t>
      </w:r>
      <w:r>
        <w:rPr>
          <w:spacing w:val="-1"/>
          <w:sz w:val="20"/>
        </w:rPr>
        <w:t> </w:t>
      </w:r>
      <w:r>
        <w:rPr>
          <w:sz w:val="20"/>
        </w:rPr>
        <w:t>drug</w:t>
      </w:r>
      <w:r>
        <w:rPr>
          <w:spacing w:val="-7"/>
          <w:sz w:val="20"/>
        </w:rPr>
        <w:t> </w:t>
      </w:r>
      <w:r>
        <w:rPr>
          <w:sz w:val="20"/>
        </w:rPr>
        <w:t>pay</w:t>
      </w:r>
      <w:r>
        <w:rPr>
          <w:spacing w:val="-11"/>
          <w:sz w:val="20"/>
        </w:rPr>
        <w:t> </w:t>
      </w:r>
      <w:r>
        <w:rPr>
          <w:spacing w:val="-2"/>
          <w:sz w:val="20"/>
        </w:rPr>
        <w:t>load.</w:t>
      </w:r>
    </w:p>
    <w:p>
      <w:pPr>
        <w:pStyle w:val="ListParagraph"/>
        <w:numPr>
          <w:ilvl w:val="0"/>
          <w:numId w:val="1"/>
        </w:numPr>
        <w:tabs>
          <w:tab w:pos="788" w:val="left" w:leader="none"/>
        </w:tabs>
        <w:spacing w:line="240" w:lineRule="auto" w:before="0" w:after="0"/>
        <w:ind w:left="141" w:right="41" w:firstLine="0"/>
        <w:jc w:val="both"/>
        <w:rPr>
          <w:sz w:val="20"/>
        </w:rPr>
      </w:pPr>
      <w:r>
        <w:rPr>
          <w:sz w:val="20"/>
        </w:rPr>
        <w:t>Excellent reproducibility with cost effective high pressure homogenization method as the preparation procedure. </w:t>
      </w:r>
      <w:r>
        <w:rPr>
          <w:sz w:val="20"/>
          <w:vertAlign w:val="superscript"/>
        </w:rPr>
        <w:t>14</w:t>
      </w:r>
    </w:p>
    <w:p>
      <w:pPr>
        <w:pStyle w:val="ListParagraph"/>
        <w:numPr>
          <w:ilvl w:val="0"/>
          <w:numId w:val="1"/>
        </w:numPr>
        <w:tabs>
          <w:tab w:pos="620" w:val="left" w:leader="none"/>
        </w:tabs>
        <w:spacing w:line="235" w:lineRule="auto" w:before="5" w:after="0"/>
        <w:ind w:left="141" w:right="41" w:firstLine="0"/>
        <w:jc w:val="both"/>
        <w:rPr>
          <w:sz w:val="20"/>
        </w:rPr>
      </w:pPr>
      <w:r>
        <w:rPr>
          <w:sz w:val="20"/>
        </w:rPr>
        <w:t>The feasibility of incorporating both hydrophilic and hydrophobic drugs.</w:t>
      </w:r>
    </w:p>
    <w:p>
      <w:pPr>
        <w:pStyle w:val="ListParagraph"/>
        <w:numPr>
          <w:ilvl w:val="0"/>
          <w:numId w:val="1"/>
        </w:numPr>
        <w:tabs>
          <w:tab w:pos="552" w:val="left" w:leader="none"/>
        </w:tabs>
        <w:spacing w:line="240" w:lineRule="auto" w:before="2" w:after="0"/>
        <w:ind w:left="552" w:right="0" w:hanging="411"/>
        <w:jc w:val="both"/>
        <w:rPr>
          <w:sz w:val="20"/>
        </w:rPr>
      </w:pPr>
      <w:r>
        <w:rPr>
          <w:sz w:val="20"/>
        </w:rPr>
        <w:t>Can</w:t>
      </w:r>
      <w:r>
        <w:rPr>
          <w:spacing w:val="-8"/>
          <w:sz w:val="20"/>
        </w:rPr>
        <w:t> </w:t>
      </w:r>
      <w:r>
        <w:rPr>
          <w:sz w:val="20"/>
        </w:rPr>
        <w:t>be</w:t>
      </w:r>
      <w:r>
        <w:rPr>
          <w:spacing w:val="-9"/>
          <w:sz w:val="20"/>
        </w:rPr>
        <w:t> </w:t>
      </w:r>
      <w:r>
        <w:rPr>
          <w:sz w:val="20"/>
        </w:rPr>
        <w:t>subjected</w:t>
      </w:r>
      <w:r>
        <w:rPr>
          <w:spacing w:val="-7"/>
          <w:sz w:val="20"/>
        </w:rPr>
        <w:t> </w:t>
      </w:r>
      <w:r>
        <w:rPr>
          <w:sz w:val="20"/>
        </w:rPr>
        <w:t>to</w:t>
      </w:r>
      <w:r>
        <w:rPr>
          <w:spacing w:val="-11"/>
          <w:sz w:val="20"/>
        </w:rPr>
        <w:t> </w:t>
      </w:r>
      <w:r>
        <w:rPr>
          <w:sz w:val="20"/>
        </w:rPr>
        <w:t>commercial</w:t>
      </w:r>
      <w:r>
        <w:rPr>
          <w:spacing w:val="-9"/>
          <w:sz w:val="20"/>
        </w:rPr>
        <w:t> </w:t>
      </w:r>
      <w:r>
        <w:rPr>
          <w:sz w:val="20"/>
        </w:rPr>
        <w:t>sterilization</w:t>
      </w:r>
      <w:r>
        <w:rPr>
          <w:spacing w:val="-7"/>
          <w:sz w:val="20"/>
        </w:rPr>
        <w:t> </w:t>
      </w:r>
      <w:r>
        <w:rPr>
          <w:spacing w:val="-2"/>
          <w:sz w:val="20"/>
        </w:rPr>
        <w:t>procedures.</w:t>
      </w:r>
    </w:p>
    <w:p>
      <w:pPr>
        <w:pStyle w:val="ListParagraph"/>
        <w:numPr>
          <w:ilvl w:val="0"/>
          <w:numId w:val="1"/>
        </w:numPr>
        <w:tabs>
          <w:tab w:pos="561" w:val="left" w:leader="none"/>
        </w:tabs>
        <w:spacing w:line="240" w:lineRule="auto" w:before="0" w:after="0"/>
        <w:ind w:left="561" w:right="0" w:hanging="420"/>
        <w:jc w:val="both"/>
        <w:rPr>
          <w:sz w:val="20"/>
        </w:rPr>
      </w:pPr>
      <w:r>
        <w:rPr>
          <w:sz w:val="20"/>
        </w:rPr>
        <w:t>Can</w:t>
      </w:r>
      <w:r>
        <w:rPr>
          <w:spacing w:val="-5"/>
          <w:sz w:val="20"/>
        </w:rPr>
        <w:t> </w:t>
      </w:r>
      <w:r>
        <w:rPr>
          <w:sz w:val="20"/>
        </w:rPr>
        <w:t>be</w:t>
      </w:r>
      <w:r>
        <w:rPr>
          <w:spacing w:val="-8"/>
          <w:sz w:val="20"/>
        </w:rPr>
        <w:t> </w:t>
      </w:r>
      <w:r>
        <w:rPr>
          <w:sz w:val="20"/>
        </w:rPr>
        <w:t>freeze</w:t>
      </w:r>
      <w:r>
        <w:rPr>
          <w:spacing w:val="-7"/>
          <w:sz w:val="20"/>
        </w:rPr>
        <w:t> </w:t>
      </w:r>
      <w:r>
        <w:rPr>
          <w:sz w:val="20"/>
        </w:rPr>
        <w:t>dried</w:t>
      </w:r>
      <w:r>
        <w:rPr>
          <w:spacing w:val="-5"/>
          <w:sz w:val="20"/>
        </w:rPr>
        <w:t> </w:t>
      </w:r>
      <w:r>
        <w:rPr>
          <w:sz w:val="20"/>
        </w:rPr>
        <w:t>to</w:t>
      </w:r>
      <w:r>
        <w:rPr>
          <w:spacing w:val="-8"/>
          <w:sz w:val="20"/>
        </w:rPr>
        <w:t> </w:t>
      </w:r>
      <w:r>
        <w:rPr>
          <w:sz w:val="20"/>
        </w:rPr>
        <w:t>form</w:t>
      </w:r>
      <w:r>
        <w:rPr>
          <w:spacing w:val="-8"/>
          <w:sz w:val="20"/>
        </w:rPr>
        <w:t> </w:t>
      </w:r>
      <w:r>
        <w:rPr>
          <w:sz w:val="20"/>
        </w:rPr>
        <w:t>powdered</w:t>
      </w:r>
      <w:r>
        <w:rPr>
          <w:spacing w:val="-4"/>
          <w:sz w:val="20"/>
        </w:rPr>
        <w:t> </w:t>
      </w:r>
      <w:r>
        <w:rPr>
          <w:spacing w:val="-2"/>
          <w:sz w:val="20"/>
        </w:rPr>
        <w:t>formulation.</w:t>
      </w:r>
    </w:p>
    <w:p>
      <w:pPr>
        <w:pStyle w:val="Heading2"/>
        <w:spacing w:before="6"/>
      </w:pPr>
      <w:r>
        <w:rPr/>
        <w:t>DISADVANTAGES</w:t>
      </w:r>
      <w:r>
        <w:rPr>
          <w:spacing w:val="-9"/>
        </w:rPr>
        <w:t> </w:t>
      </w:r>
      <w:r>
        <w:rPr/>
        <w:t>OF</w:t>
      </w:r>
      <w:r>
        <w:rPr>
          <w:spacing w:val="-9"/>
        </w:rPr>
        <w:t> </w:t>
      </w:r>
      <w:r>
        <w:rPr>
          <w:spacing w:val="-4"/>
        </w:rPr>
        <w:t>SLNS</w:t>
      </w:r>
    </w:p>
    <w:p>
      <w:pPr>
        <w:pStyle w:val="BodyText"/>
        <w:spacing w:line="228" w:lineRule="exact"/>
        <w:jc w:val="left"/>
      </w:pPr>
      <w:r>
        <w:rPr/>
        <w:t>Potential</w:t>
      </w:r>
      <w:r>
        <w:rPr>
          <w:spacing w:val="-8"/>
        </w:rPr>
        <w:t> </w:t>
      </w:r>
      <w:r>
        <w:rPr/>
        <w:t>disadvantages</w:t>
      </w:r>
      <w:r>
        <w:rPr>
          <w:spacing w:val="-5"/>
        </w:rPr>
        <w:t> </w:t>
      </w:r>
      <w:r>
        <w:rPr/>
        <w:t>of</w:t>
      </w:r>
      <w:r>
        <w:rPr>
          <w:spacing w:val="-8"/>
        </w:rPr>
        <w:t> </w:t>
      </w:r>
      <w:r>
        <w:rPr/>
        <w:t>SLNs</w:t>
      </w:r>
      <w:r>
        <w:rPr>
          <w:spacing w:val="-6"/>
        </w:rPr>
        <w:t> </w:t>
      </w:r>
      <w:r>
        <w:rPr/>
        <w:t>are</w:t>
      </w:r>
      <w:r>
        <w:rPr>
          <w:spacing w:val="-7"/>
        </w:rPr>
        <w:t> </w:t>
      </w:r>
      <w:r>
        <w:rPr/>
        <w:t>such</w:t>
      </w:r>
      <w:r>
        <w:rPr>
          <w:spacing w:val="-4"/>
        </w:rPr>
        <w:t> </w:t>
      </w:r>
      <w:r>
        <w:rPr>
          <w:spacing w:val="-5"/>
        </w:rPr>
        <w:t>as:</w:t>
      </w:r>
    </w:p>
    <w:p>
      <w:pPr>
        <w:pStyle w:val="ListParagraph"/>
        <w:numPr>
          <w:ilvl w:val="0"/>
          <w:numId w:val="2"/>
        </w:numPr>
        <w:tabs>
          <w:tab w:pos="602" w:val="left" w:leader="none"/>
        </w:tabs>
        <w:spacing w:line="240" w:lineRule="auto" w:before="0" w:after="0"/>
        <w:ind w:left="602" w:right="0" w:hanging="461"/>
        <w:jc w:val="left"/>
        <w:rPr>
          <w:sz w:val="20"/>
        </w:rPr>
      </w:pPr>
      <w:r>
        <w:rPr>
          <w:sz w:val="20"/>
        </w:rPr>
        <w:t>Poor</w:t>
      </w:r>
      <w:r>
        <w:rPr>
          <w:spacing w:val="-1"/>
          <w:sz w:val="20"/>
        </w:rPr>
        <w:t> </w:t>
      </w:r>
      <w:r>
        <w:rPr>
          <w:sz w:val="20"/>
        </w:rPr>
        <w:t>drug</w:t>
      </w:r>
      <w:r>
        <w:rPr>
          <w:spacing w:val="-9"/>
          <w:sz w:val="20"/>
        </w:rPr>
        <w:t> </w:t>
      </w:r>
      <w:r>
        <w:rPr>
          <w:sz w:val="20"/>
        </w:rPr>
        <w:t>loading</w:t>
      </w:r>
      <w:r>
        <w:rPr>
          <w:spacing w:val="-8"/>
          <w:sz w:val="20"/>
        </w:rPr>
        <w:t> </w:t>
      </w:r>
      <w:r>
        <w:rPr>
          <w:spacing w:val="-2"/>
          <w:sz w:val="20"/>
        </w:rPr>
        <w:t>capacity</w:t>
      </w:r>
    </w:p>
    <w:p>
      <w:pPr>
        <w:pStyle w:val="ListParagraph"/>
        <w:numPr>
          <w:ilvl w:val="0"/>
          <w:numId w:val="2"/>
        </w:numPr>
        <w:tabs>
          <w:tab w:pos="607" w:val="left" w:leader="none"/>
        </w:tabs>
        <w:spacing w:line="240" w:lineRule="auto" w:before="0" w:after="0"/>
        <w:ind w:left="141" w:right="641" w:firstLine="0"/>
        <w:jc w:val="left"/>
        <w:rPr>
          <w:sz w:val="20"/>
        </w:rPr>
      </w:pPr>
      <w:r>
        <w:rPr>
          <w:sz w:val="20"/>
        </w:rPr>
        <w:t>Drug</w:t>
      </w:r>
      <w:r>
        <w:rPr>
          <w:spacing w:val="-10"/>
          <w:sz w:val="20"/>
        </w:rPr>
        <w:t> </w:t>
      </w:r>
      <w:r>
        <w:rPr>
          <w:sz w:val="20"/>
        </w:rPr>
        <w:t>expulsion</w:t>
      </w:r>
      <w:r>
        <w:rPr>
          <w:spacing w:val="-7"/>
          <w:sz w:val="20"/>
        </w:rPr>
        <w:t> </w:t>
      </w:r>
      <w:r>
        <w:rPr>
          <w:sz w:val="20"/>
        </w:rPr>
        <w:t>after</w:t>
      </w:r>
      <w:r>
        <w:rPr>
          <w:spacing w:val="-7"/>
          <w:sz w:val="20"/>
        </w:rPr>
        <w:t> </w:t>
      </w:r>
      <w:r>
        <w:rPr>
          <w:sz w:val="20"/>
        </w:rPr>
        <w:t>polymeric</w:t>
      </w:r>
      <w:r>
        <w:rPr>
          <w:spacing w:val="-9"/>
          <w:sz w:val="20"/>
        </w:rPr>
        <w:t> </w:t>
      </w:r>
      <w:r>
        <w:rPr>
          <w:sz w:val="20"/>
        </w:rPr>
        <w:t>transition</w:t>
      </w:r>
      <w:r>
        <w:rPr>
          <w:spacing w:val="-7"/>
          <w:sz w:val="20"/>
        </w:rPr>
        <w:t> </w:t>
      </w:r>
      <w:r>
        <w:rPr>
          <w:sz w:val="20"/>
        </w:rPr>
        <w:t>during </w:t>
      </w:r>
      <w:r>
        <w:rPr>
          <w:spacing w:val="-2"/>
          <w:sz w:val="20"/>
        </w:rPr>
        <w:t>storage.</w:t>
      </w:r>
    </w:p>
    <w:p>
      <w:pPr>
        <w:pStyle w:val="ListParagraph"/>
        <w:numPr>
          <w:ilvl w:val="0"/>
          <w:numId w:val="2"/>
        </w:numPr>
        <w:tabs>
          <w:tab w:pos="611" w:val="left" w:leader="none"/>
        </w:tabs>
        <w:spacing w:line="240" w:lineRule="auto" w:before="1" w:after="0"/>
        <w:ind w:left="611" w:right="0" w:hanging="470"/>
        <w:jc w:val="left"/>
        <w:rPr>
          <w:sz w:val="20"/>
        </w:rPr>
      </w:pPr>
      <w:r>
        <w:rPr>
          <w:sz w:val="20"/>
        </w:rPr>
        <w:t>Relatively</w:t>
      </w:r>
      <w:r>
        <w:rPr>
          <w:spacing w:val="-12"/>
          <w:sz w:val="20"/>
        </w:rPr>
        <w:t> </w:t>
      </w:r>
      <w:r>
        <w:rPr>
          <w:sz w:val="20"/>
        </w:rPr>
        <w:t>high</w:t>
      </w:r>
      <w:r>
        <w:rPr>
          <w:spacing w:val="-3"/>
          <w:sz w:val="20"/>
        </w:rPr>
        <w:t> </w:t>
      </w:r>
      <w:r>
        <w:rPr>
          <w:sz w:val="20"/>
        </w:rPr>
        <w:t>water</w:t>
      </w:r>
      <w:r>
        <w:rPr>
          <w:spacing w:val="-4"/>
          <w:sz w:val="20"/>
        </w:rPr>
        <w:t> </w:t>
      </w:r>
      <w:r>
        <w:rPr>
          <w:sz w:val="20"/>
        </w:rPr>
        <w:t>content</w:t>
      </w:r>
      <w:r>
        <w:rPr>
          <w:spacing w:val="-6"/>
          <w:sz w:val="20"/>
        </w:rPr>
        <w:t> </w:t>
      </w:r>
      <w:r>
        <w:rPr>
          <w:sz w:val="20"/>
        </w:rPr>
        <w:t>of</w:t>
      </w:r>
      <w:r>
        <w:rPr>
          <w:spacing w:val="-6"/>
          <w:sz w:val="20"/>
        </w:rPr>
        <w:t> </w:t>
      </w:r>
      <w:r>
        <w:rPr>
          <w:sz w:val="20"/>
        </w:rPr>
        <w:t>the</w:t>
      </w:r>
      <w:r>
        <w:rPr>
          <w:spacing w:val="-6"/>
          <w:sz w:val="20"/>
        </w:rPr>
        <w:t> </w:t>
      </w:r>
      <w:r>
        <w:rPr>
          <w:spacing w:val="-2"/>
          <w:sz w:val="20"/>
        </w:rPr>
        <w:t>dispersions.</w:t>
      </w:r>
    </w:p>
    <w:p>
      <w:pPr>
        <w:pStyle w:val="Heading2"/>
        <w:spacing w:before="5"/>
      </w:pPr>
      <w:r>
        <w:rPr/>
        <w:t>UPTAKE</w:t>
      </w:r>
      <w:r>
        <w:rPr>
          <w:spacing w:val="-9"/>
        </w:rPr>
        <w:t> </w:t>
      </w:r>
      <w:r>
        <w:rPr/>
        <w:t>OF</w:t>
      </w:r>
      <w:r>
        <w:rPr>
          <w:spacing w:val="-4"/>
        </w:rPr>
        <w:t> SLNS</w:t>
      </w:r>
    </w:p>
    <w:p>
      <w:pPr>
        <w:pStyle w:val="BodyText"/>
        <w:ind w:right="38"/>
      </w:pPr>
      <w:r>
        <w:rPr/>
        <w:t>The majority of orally administered drugs gain access to the systemic circulation by absorption into the portal blood. However, some extremely lipophilic drugs (log P &gt; 5, solubility in TG &gt; 50 mg/ml) gain access to the systemic circulation via lymphatic route, which avoids hepatic first pass metabolism. Therefore, highly metabolized lipophilic drugs may be potential candidates for solid lipid nanoparticles, a lipid based delivery. Compounds showing increased bioavailability in the presence of lipids (dietary or lipid-based</w:t>
      </w:r>
      <w:r>
        <w:rPr>
          <w:spacing w:val="-3"/>
        </w:rPr>
        <w:t> </w:t>
      </w:r>
      <w:r>
        <w:rPr/>
        <w:t>formulation)</w:t>
      </w:r>
      <w:r>
        <w:rPr>
          <w:spacing w:val="-3"/>
        </w:rPr>
        <w:t> </w:t>
      </w:r>
      <w:r>
        <w:rPr/>
        <w:t>are</w:t>
      </w:r>
      <w:r>
        <w:rPr>
          <w:spacing w:val="-10"/>
        </w:rPr>
        <w:t> </w:t>
      </w:r>
      <w:r>
        <w:rPr/>
        <w:t>absorbed via</w:t>
      </w:r>
      <w:r>
        <w:rPr>
          <w:spacing w:val="-1"/>
        </w:rPr>
        <w:t> </w:t>
      </w:r>
      <w:r>
        <w:rPr/>
        <w:t>the</w:t>
      </w:r>
      <w:r>
        <w:rPr>
          <w:spacing w:val="-6"/>
        </w:rPr>
        <w:t> </w:t>
      </w:r>
      <w:r>
        <w:rPr/>
        <w:t>intestinal</w:t>
      </w:r>
      <w:r>
        <w:rPr>
          <w:spacing w:val="-6"/>
        </w:rPr>
        <w:t> </w:t>
      </w:r>
      <w:r>
        <w:rPr/>
        <w:t>lymph as they</w:t>
      </w:r>
      <w:r>
        <w:rPr>
          <w:spacing w:val="-7"/>
        </w:rPr>
        <w:t> </w:t>
      </w:r>
      <w:r>
        <w:rPr/>
        <w:t>are</w:t>
      </w:r>
      <w:r>
        <w:rPr>
          <w:spacing w:val="-1"/>
        </w:rPr>
        <w:t> </w:t>
      </w:r>
      <w:r>
        <w:rPr/>
        <w:t>generally</w:t>
      </w:r>
      <w:r>
        <w:rPr>
          <w:spacing w:val="-7"/>
        </w:rPr>
        <w:t> </w:t>
      </w:r>
      <w:r>
        <w:rPr/>
        <w:t>transported in association with the</w:t>
      </w:r>
      <w:r>
        <w:rPr>
          <w:spacing w:val="-1"/>
        </w:rPr>
        <w:t> </w:t>
      </w:r>
      <w:r>
        <w:rPr/>
        <w:t>long- chain TGs lipid core of intestinal lipoproteins formed in the enterocyte</w:t>
      </w:r>
      <w:r>
        <w:rPr>
          <w:spacing w:val="-1"/>
        </w:rPr>
        <w:t> </w:t>
      </w:r>
      <w:r>
        <w:rPr/>
        <w:t>after re-esterification of</w:t>
      </w:r>
      <w:r>
        <w:rPr>
          <w:spacing w:val="-3"/>
        </w:rPr>
        <w:t> </w:t>
      </w:r>
      <w:r>
        <w:rPr/>
        <w:t>free</w:t>
      </w:r>
      <w:r>
        <w:rPr>
          <w:spacing w:val="-1"/>
        </w:rPr>
        <w:t> </w:t>
      </w:r>
      <w:r>
        <w:rPr/>
        <w:t>FAs and MGs. Short- chain TGs are</w:t>
      </w:r>
      <w:r>
        <w:rPr>
          <w:spacing w:val="-2"/>
        </w:rPr>
        <w:t> </w:t>
      </w:r>
      <w:r>
        <w:rPr/>
        <w:t>primarily</w:t>
      </w:r>
      <w:r>
        <w:rPr>
          <w:spacing w:val="-8"/>
        </w:rPr>
        <w:t> </w:t>
      </w:r>
      <w:r>
        <w:rPr/>
        <w:t>absorbed directly</w:t>
      </w:r>
      <w:r>
        <w:rPr>
          <w:spacing w:val="-8"/>
        </w:rPr>
        <w:t> </w:t>
      </w:r>
      <w:r>
        <w:rPr/>
        <w:t>in the</w:t>
      </w:r>
      <w:r>
        <w:rPr>
          <w:spacing w:val="-2"/>
        </w:rPr>
        <w:t> </w:t>
      </w:r>
      <w:r>
        <w:rPr/>
        <w:t>portal blood. Hence it is likely that the drug transport via the lymphatic requires coadministration of lipid to stimulate lipoprotein formation</w:t>
      </w:r>
      <w:r>
        <w:rPr>
          <w:vertAlign w:val="superscript"/>
        </w:rPr>
        <w:t>.</w:t>
      </w:r>
      <w:r>
        <w:rPr>
          <w:spacing w:val="-20"/>
          <w:vertAlign w:val="baseline"/>
        </w:rPr>
        <w:t> </w:t>
      </w:r>
      <w:r>
        <w:rPr>
          <w:vertAlign w:val="superscript"/>
        </w:rPr>
        <w:t>15</w:t>
      </w:r>
    </w:p>
    <w:p>
      <w:pPr>
        <w:pStyle w:val="BodyText"/>
        <w:ind w:right="38"/>
      </w:pPr>
      <w:r>
        <w:rPr/>
        <w:t>The</w:t>
      </w:r>
      <w:r>
        <w:rPr>
          <w:spacing w:val="-4"/>
        </w:rPr>
        <w:t> </w:t>
      </w:r>
      <w:r>
        <w:rPr/>
        <w:t>lymph fluid</w:t>
      </w:r>
      <w:r>
        <w:rPr>
          <w:spacing w:val="-5"/>
        </w:rPr>
        <w:t> </w:t>
      </w:r>
      <w:r>
        <w:rPr/>
        <w:t>is</w:t>
      </w:r>
      <w:r>
        <w:rPr>
          <w:spacing w:val="-2"/>
        </w:rPr>
        <w:t> </w:t>
      </w:r>
      <w:r>
        <w:rPr/>
        <w:t>emptied</w:t>
      </w:r>
      <w:r>
        <w:rPr>
          <w:spacing w:val="-1"/>
        </w:rPr>
        <w:t> </w:t>
      </w:r>
      <w:r>
        <w:rPr/>
        <w:t>(average</w:t>
      </w:r>
      <w:r>
        <w:rPr>
          <w:spacing w:val="-4"/>
        </w:rPr>
        <w:t> </w:t>
      </w:r>
      <w:r>
        <w:rPr/>
        <w:t>3</w:t>
      </w:r>
      <w:r>
        <w:rPr>
          <w:spacing w:val="-1"/>
        </w:rPr>
        <w:t> </w:t>
      </w:r>
      <w:r>
        <w:rPr/>
        <w:t>L</w:t>
      </w:r>
      <w:r>
        <w:rPr>
          <w:spacing w:val="-4"/>
        </w:rPr>
        <w:t> </w:t>
      </w:r>
      <w:r>
        <w:rPr/>
        <w:t>per</w:t>
      </w:r>
      <w:r>
        <w:rPr>
          <w:spacing w:val="-1"/>
        </w:rPr>
        <w:t> </w:t>
      </w:r>
      <w:r>
        <w:rPr/>
        <w:t>day)</w:t>
      </w:r>
      <w:r>
        <w:rPr>
          <w:spacing w:val="-1"/>
        </w:rPr>
        <w:t> </w:t>
      </w:r>
      <w:r>
        <w:rPr/>
        <w:t>via thoracic duct into the subclavian vein, thus protecting the drug from hepatic first-pass metabolism. The drug being transported in the</w:t>
      </w:r>
      <w:r>
        <w:rPr>
          <w:spacing w:val="-8"/>
        </w:rPr>
        <w:t> </w:t>
      </w:r>
      <w:r>
        <w:rPr/>
        <w:t>circulatory</w:t>
      </w:r>
      <w:r>
        <w:rPr>
          <w:spacing w:val="-13"/>
        </w:rPr>
        <w:t> </w:t>
      </w:r>
      <w:r>
        <w:rPr/>
        <w:t>system,</w:t>
      </w:r>
      <w:r>
        <w:rPr>
          <w:spacing w:val="-1"/>
        </w:rPr>
        <w:t> </w:t>
      </w:r>
      <w:r>
        <w:rPr/>
        <w:t>in the</w:t>
      </w:r>
      <w:r>
        <w:rPr>
          <w:spacing w:val="-7"/>
        </w:rPr>
        <w:t> </w:t>
      </w:r>
      <w:r>
        <w:rPr/>
        <w:t>form</w:t>
      </w:r>
      <w:r>
        <w:rPr>
          <w:spacing w:val="-2"/>
        </w:rPr>
        <w:t> </w:t>
      </w:r>
      <w:r>
        <w:rPr/>
        <w:t>of</w:t>
      </w:r>
      <w:r>
        <w:rPr>
          <w:spacing w:val="-3"/>
        </w:rPr>
        <w:t> </w:t>
      </w:r>
      <w:r>
        <w:rPr/>
        <w:t>either micelles</w:t>
      </w:r>
      <w:r>
        <w:rPr>
          <w:spacing w:val="-5"/>
        </w:rPr>
        <w:t> </w:t>
      </w:r>
      <w:r>
        <w:rPr/>
        <w:t>or mixed micelles, may then be available in its free form, since upon dilution with a large volume of the lymph/blood, surfactant concentration may reduce below its cmc value and micelle may dissociate into monomers. The drug transported as lipid vesicles may</w:t>
      </w:r>
      <w:r>
        <w:rPr>
          <w:spacing w:val="-6"/>
        </w:rPr>
        <w:t> </w:t>
      </w:r>
      <w:r>
        <w:rPr/>
        <w:t>remain intact for extended periods and, thereby, can result in prolonged release of the encapsulated drug. Fig. 2 represents is the diagrammatic presentation of the various mechanisms by which solid lipid nanoparticles enhance the bioavailability of drugs. </w:t>
      </w:r>
      <w:r>
        <w:rPr>
          <w:vertAlign w:val="superscript"/>
        </w:rPr>
        <w:t>16,</w:t>
      </w:r>
      <w:r>
        <w:rPr>
          <w:vertAlign w:val="baseline"/>
        </w:rPr>
        <w:t> </w:t>
      </w:r>
      <w:r>
        <w:rPr>
          <w:vertAlign w:val="superscript"/>
        </w:rPr>
        <w:t>17,</w:t>
      </w:r>
      <w:r>
        <w:rPr>
          <w:vertAlign w:val="baseline"/>
        </w:rPr>
        <w:t> </w:t>
      </w:r>
      <w:r>
        <w:rPr>
          <w:vertAlign w:val="superscript"/>
        </w:rPr>
        <w:t>18.</w:t>
      </w:r>
    </w:p>
    <w:p>
      <w:pPr>
        <w:pStyle w:val="Heading2"/>
        <w:spacing w:line="240" w:lineRule="auto" w:before="1"/>
      </w:pPr>
      <w:r>
        <w:rPr/>
        <w:t>MECHANISMS</w:t>
      </w:r>
      <w:r>
        <w:rPr>
          <w:spacing w:val="-13"/>
        </w:rPr>
        <w:t> </w:t>
      </w:r>
      <w:r>
        <w:rPr/>
        <w:t>OF</w:t>
      </w:r>
      <w:r>
        <w:rPr>
          <w:spacing w:val="-10"/>
        </w:rPr>
        <w:t> </w:t>
      </w:r>
      <w:r>
        <w:rPr/>
        <w:t>ORAL</w:t>
      </w:r>
      <w:r>
        <w:rPr>
          <w:spacing w:val="-12"/>
        </w:rPr>
        <w:t> </w:t>
      </w:r>
      <w:r>
        <w:rPr/>
        <w:t>ABSORPTION </w:t>
      </w:r>
      <w:r>
        <w:rPr>
          <w:spacing w:val="-2"/>
        </w:rPr>
        <w:t>ENHANCEMENT</w:t>
      </w:r>
    </w:p>
    <w:p>
      <w:pPr>
        <w:pStyle w:val="BodyText"/>
        <w:ind w:right="38"/>
      </w:pPr>
      <w:r>
        <w:rPr/>
        <w:t>Few mechanisms are described in enhancing the oral bioavailability of drug molecules by SLNs:</w:t>
      </w:r>
    </w:p>
    <w:p>
      <w:pPr>
        <w:pStyle w:val="Heading3"/>
        <w:numPr>
          <w:ilvl w:val="0"/>
          <w:numId w:val="3"/>
        </w:numPr>
        <w:tabs>
          <w:tab w:pos="500" w:val="left" w:leader="none"/>
        </w:tabs>
        <w:spacing w:line="240" w:lineRule="auto" w:before="93" w:after="0"/>
        <w:ind w:left="500" w:right="0" w:hanging="359"/>
        <w:jc w:val="both"/>
      </w:pPr>
      <w:r>
        <w:rPr>
          <w:b w:val="0"/>
        </w:rPr>
        <w:br w:type="column"/>
      </w:r>
      <w:r>
        <w:rPr>
          <w:spacing w:val="-2"/>
        </w:rPr>
        <w:t>Dissolution/solubilisation:</w:t>
      </w:r>
    </w:p>
    <w:p>
      <w:pPr>
        <w:pStyle w:val="BodyText"/>
        <w:ind w:right="132"/>
      </w:pPr>
      <w:r>
        <w:rPr/>
        <w:t>SLNs entering into the GI tract, stimulates the gallbladder contractions and biliary and pancreatic secretions, including bile</w:t>
      </w:r>
      <w:r>
        <w:rPr>
          <w:spacing w:val="-3"/>
        </w:rPr>
        <w:t> </w:t>
      </w:r>
      <w:r>
        <w:rPr/>
        <w:t>salts</w:t>
      </w:r>
      <w:r>
        <w:rPr>
          <w:spacing w:val="-1"/>
        </w:rPr>
        <w:t> </w:t>
      </w:r>
      <w:r>
        <w:rPr/>
        <w:t>(BS), phospholipids</w:t>
      </w:r>
      <w:r>
        <w:rPr>
          <w:spacing w:val="-1"/>
        </w:rPr>
        <w:t> </w:t>
      </w:r>
      <w:r>
        <w:rPr/>
        <w:t>(PL) and cholesterol, due</w:t>
      </w:r>
      <w:r>
        <w:rPr>
          <w:spacing w:val="-3"/>
        </w:rPr>
        <w:t> </w:t>
      </w:r>
      <w:r>
        <w:rPr/>
        <w:t>to</w:t>
      </w:r>
      <w:r>
        <w:rPr>
          <w:spacing w:val="-4"/>
        </w:rPr>
        <w:t> </w:t>
      </w:r>
      <w:r>
        <w:rPr/>
        <w:t>the lipids presence in the formulation</w:t>
      </w:r>
      <w:r>
        <w:rPr>
          <w:vertAlign w:val="superscript"/>
        </w:rPr>
        <w:t>19</w:t>
      </w:r>
      <w:r>
        <w:rPr>
          <w:vertAlign w:val="baseline"/>
        </w:rPr>
        <w:t> These products, along with the gastric shear movement, form a crude emulsion which promotes the solubilisation of the</w:t>
      </w:r>
      <w:r>
        <w:rPr>
          <w:spacing w:val="40"/>
          <w:vertAlign w:val="baseline"/>
        </w:rPr>
        <w:t> </w:t>
      </w:r>
      <w:r>
        <w:rPr>
          <w:vertAlign w:val="baseline"/>
        </w:rPr>
        <w:t>coadministered lipophilic drug</w:t>
      </w:r>
      <w:r>
        <w:rPr>
          <w:vertAlign w:val="superscript"/>
        </w:rPr>
        <w:t>.20</w:t>
      </w:r>
      <w:r>
        <w:rPr>
          <w:vertAlign w:val="baseline"/>
        </w:rPr>
        <w:t> Further, the surface active agents present in the SLNs may further stimulate the solubilization of the lipophilic compound.</w:t>
      </w:r>
    </w:p>
    <w:p>
      <w:pPr>
        <w:pStyle w:val="Heading3"/>
        <w:numPr>
          <w:ilvl w:val="0"/>
          <w:numId w:val="3"/>
        </w:numPr>
        <w:tabs>
          <w:tab w:pos="861" w:val="left" w:leader="none"/>
        </w:tabs>
        <w:spacing w:line="229" w:lineRule="exact" w:before="0" w:after="0"/>
        <w:ind w:left="861" w:right="0" w:hanging="720"/>
        <w:jc w:val="both"/>
      </w:pPr>
      <w:r>
        <w:rPr/>
        <w:t>Affecting</w:t>
      </w:r>
      <w:r>
        <w:rPr>
          <w:spacing w:val="-9"/>
        </w:rPr>
        <w:t> </w:t>
      </w:r>
      <w:r>
        <w:rPr/>
        <w:t>intestinal</w:t>
      </w:r>
      <w:r>
        <w:rPr>
          <w:spacing w:val="-8"/>
        </w:rPr>
        <w:t> </w:t>
      </w:r>
      <w:r>
        <w:rPr>
          <w:spacing w:val="-2"/>
        </w:rPr>
        <w:t>permeability:</w:t>
      </w:r>
    </w:p>
    <w:p>
      <w:pPr>
        <w:pStyle w:val="BodyText"/>
        <w:spacing w:before="1"/>
        <w:ind w:right="132"/>
      </w:pPr>
      <w:r>
        <w:rPr/>
        <w:t>A variety of lipids have been shown to change the physical barrier function of the gut wall and hence, enhance the </w:t>
      </w:r>
      <w:r>
        <w:rPr>
          <w:spacing w:val="-2"/>
        </w:rPr>
        <w:t>permeability</w:t>
      </w:r>
      <w:r>
        <w:rPr>
          <w:spacing w:val="-2"/>
          <w:vertAlign w:val="superscript"/>
        </w:rPr>
        <w:t>.21</w:t>
      </w:r>
    </w:p>
    <w:p>
      <w:pPr>
        <w:pStyle w:val="ListParagraph"/>
        <w:numPr>
          <w:ilvl w:val="0"/>
          <w:numId w:val="3"/>
        </w:numPr>
        <w:tabs>
          <w:tab w:pos="858" w:val="left" w:leader="none"/>
        </w:tabs>
        <w:spacing w:line="240" w:lineRule="auto" w:before="1" w:after="0"/>
        <w:ind w:left="141" w:right="130" w:firstLine="0"/>
        <w:jc w:val="both"/>
        <w:rPr>
          <w:sz w:val="20"/>
        </w:rPr>
      </w:pPr>
      <w:r>
        <w:rPr>
          <w:b/>
          <w:sz w:val="20"/>
        </w:rPr>
        <w:t>Prevent first pass metabolism</w:t>
      </w:r>
      <w:r>
        <w:rPr>
          <w:sz w:val="20"/>
        </w:rPr>
        <w:t>:Solid lipid nanoparticles have been reported to enhance oral bioavailability of certain highly</w:t>
      </w:r>
      <w:r>
        <w:rPr>
          <w:spacing w:val="-3"/>
          <w:sz w:val="20"/>
        </w:rPr>
        <w:t> </w:t>
      </w:r>
      <w:r>
        <w:rPr>
          <w:sz w:val="20"/>
        </w:rPr>
        <w:t>lipophilic drugs by accessing to systemic circulation via lymphatic route hence preventing their first pass metabolism.</w:t>
      </w:r>
    </w:p>
    <w:p>
      <w:pPr>
        <w:pStyle w:val="Heading3"/>
        <w:numPr>
          <w:ilvl w:val="0"/>
          <w:numId w:val="3"/>
        </w:numPr>
        <w:tabs>
          <w:tab w:pos="860" w:val="left" w:leader="none"/>
        </w:tabs>
        <w:spacing w:line="227" w:lineRule="exact" w:before="0" w:after="0"/>
        <w:ind w:left="860" w:right="0" w:hanging="719"/>
        <w:jc w:val="both"/>
        <w:rPr>
          <w:b w:val="0"/>
        </w:rPr>
      </w:pPr>
      <w:r>
        <w:rPr/>
        <w:t>Gastric</w:t>
      </w:r>
      <w:r>
        <w:rPr>
          <w:spacing w:val="-11"/>
        </w:rPr>
        <w:t> </w:t>
      </w:r>
      <w:r>
        <w:rPr/>
        <w:t>residence</w:t>
      </w:r>
      <w:r>
        <w:rPr>
          <w:spacing w:val="-8"/>
        </w:rPr>
        <w:t> </w:t>
      </w:r>
      <w:r>
        <w:rPr>
          <w:spacing w:val="-4"/>
        </w:rPr>
        <w:t>time</w:t>
      </w:r>
      <w:r>
        <w:rPr>
          <w:b w:val="0"/>
          <w:spacing w:val="-4"/>
        </w:rPr>
        <w:t>:</w:t>
      </w:r>
    </w:p>
    <w:p>
      <w:pPr>
        <w:pStyle w:val="BodyText"/>
        <w:spacing w:before="1"/>
        <w:ind w:right="132"/>
      </w:pPr>
      <w:r>
        <w:rPr/>
        <w:t>Lipids in the GI tract provoke delay in gastric emptying</w:t>
      </w:r>
      <w:r>
        <w:rPr>
          <w:spacing w:val="40"/>
        </w:rPr>
        <w:t> </w:t>
      </w:r>
      <w:r>
        <w:rPr/>
        <w:t>which results in increased residence time of the coadministered lipophilic drug in the small intestine. This enables better dissolution of the drug at the absorptive site, and thereby improves absorption.</w:t>
      </w:r>
    </w:p>
    <w:p>
      <w:pPr>
        <w:pStyle w:val="Heading2"/>
        <w:spacing w:line="240" w:lineRule="auto" w:before="6"/>
        <w:ind w:right="192"/>
      </w:pPr>
      <w:r>
        <w:rPr/>
        <w:t>EMULSIFIERS</w:t>
      </w:r>
      <w:r>
        <w:rPr>
          <w:spacing w:val="-8"/>
        </w:rPr>
        <w:t> </w:t>
      </w:r>
      <w:r>
        <w:rPr/>
        <w:t>AND</w:t>
      </w:r>
      <w:r>
        <w:rPr>
          <w:spacing w:val="-8"/>
        </w:rPr>
        <w:t> </w:t>
      </w:r>
      <w:r>
        <w:rPr/>
        <w:t>LIPIDS</w:t>
      </w:r>
      <w:r>
        <w:rPr>
          <w:spacing w:val="-8"/>
        </w:rPr>
        <w:t> </w:t>
      </w:r>
      <w:r>
        <w:rPr/>
        <w:t>FOR</w:t>
      </w:r>
      <w:r>
        <w:rPr>
          <w:spacing w:val="-8"/>
        </w:rPr>
        <w:t> </w:t>
      </w:r>
      <w:r>
        <w:rPr/>
        <w:t>SOLID</w:t>
      </w:r>
      <w:r>
        <w:rPr>
          <w:spacing w:val="-8"/>
        </w:rPr>
        <w:t> </w:t>
      </w:r>
      <w:r>
        <w:rPr/>
        <w:t>LIQUID </w:t>
      </w:r>
      <w:r>
        <w:rPr>
          <w:spacing w:val="-2"/>
        </w:rPr>
        <w:t>NANOPARTICLES</w:t>
      </w:r>
      <w:r>
        <w:rPr>
          <w:spacing w:val="-2"/>
          <w:vertAlign w:val="superscript"/>
        </w:rPr>
        <w:t>22</w:t>
      </w:r>
    </w:p>
    <w:p>
      <w:pPr>
        <w:pStyle w:val="BodyText"/>
        <w:ind w:right="135"/>
      </w:pPr>
      <w:r>
        <w:rPr/>
        <w:t>The following table gives idea about the emulsifiers and</w:t>
      </w:r>
      <w:r>
        <w:rPr>
          <w:spacing w:val="40"/>
        </w:rPr>
        <w:t> </w:t>
      </w:r>
      <w:r>
        <w:rPr/>
        <w:t>lipids for Solid Liquid Nanoparticles:</w:t>
      </w:r>
    </w:p>
    <w:p>
      <w:pPr>
        <w:pStyle w:val="Heading2"/>
        <w:spacing w:line="235" w:lineRule="auto" w:before="6"/>
        <w:ind w:right="192"/>
      </w:pPr>
      <w:r>
        <w:rPr/>
        <w:t>PREPARATION</w:t>
      </w:r>
      <w:r>
        <w:rPr>
          <w:spacing w:val="-10"/>
        </w:rPr>
        <w:t> </w:t>
      </w:r>
      <w:r>
        <w:rPr/>
        <w:t>OF</w:t>
      </w:r>
      <w:r>
        <w:rPr>
          <w:spacing w:val="-11"/>
        </w:rPr>
        <w:t> </w:t>
      </w:r>
      <w:r>
        <w:rPr/>
        <w:t>SOLID</w:t>
      </w:r>
      <w:r>
        <w:rPr>
          <w:spacing w:val="-13"/>
        </w:rPr>
        <w:t> </w:t>
      </w:r>
      <w:r>
        <w:rPr/>
        <w:t>LIQUID </w:t>
      </w:r>
      <w:r>
        <w:rPr>
          <w:spacing w:val="-2"/>
        </w:rPr>
        <w:t>NANOPARTICLES</w:t>
      </w:r>
    </w:p>
    <w:p>
      <w:pPr>
        <w:spacing w:line="242" w:lineRule="auto" w:before="0"/>
        <w:ind w:left="141" w:right="132" w:firstLine="0"/>
        <w:jc w:val="both"/>
        <w:rPr>
          <w:b/>
          <w:sz w:val="20"/>
        </w:rPr>
      </w:pPr>
      <w:r>
        <w:rPr>
          <w:sz w:val="20"/>
        </w:rPr>
        <w:t>SLNs are prepared from lipid, emulsifier and water/solvent</w:t>
      </w:r>
      <w:r>
        <w:rPr>
          <w:spacing w:val="40"/>
          <w:sz w:val="20"/>
        </w:rPr>
        <w:t> </w:t>
      </w:r>
      <w:r>
        <w:rPr>
          <w:sz w:val="20"/>
        </w:rPr>
        <w:t>by</w:t>
      </w:r>
      <w:r>
        <w:rPr>
          <w:spacing w:val="-8"/>
          <w:sz w:val="20"/>
        </w:rPr>
        <w:t> </w:t>
      </w:r>
      <w:r>
        <w:rPr>
          <w:sz w:val="20"/>
        </w:rPr>
        <w:t>using different</w:t>
      </w:r>
      <w:r>
        <w:rPr>
          <w:spacing w:val="-2"/>
          <w:sz w:val="20"/>
        </w:rPr>
        <w:t> </w:t>
      </w:r>
      <w:r>
        <w:rPr>
          <w:sz w:val="20"/>
        </w:rPr>
        <w:t>methods (Table2)</w:t>
      </w:r>
      <w:r>
        <w:rPr>
          <w:spacing w:val="-3"/>
          <w:sz w:val="20"/>
        </w:rPr>
        <w:t> </w:t>
      </w:r>
      <w:r>
        <w:rPr>
          <w:sz w:val="20"/>
        </w:rPr>
        <w:t>and</w:t>
      </w:r>
      <w:r>
        <w:rPr>
          <w:spacing w:val="-3"/>
          <w:sz w:val="20"/>
        </w:rPr>
        <w:t> </w:t>
      </w:r>
      <w:r>
        <w:rPr>
          <w:sz w:val="20"/>
        </w:rPr>
        <w:t>are</w:t>
      </w:r>
      <w:r>
        <w:rPr>
          <w:spacing w:val="-2"/>
          <w:sz w:val="20"/>
        </w:rPr>
        <w:t> </w:t>
      </w:r>
      <w:r>
        <w:rPr>
          <w:sz w:val="20"/>
        </w:rPr>
        <w:t>discussed below: </w:t>
      </w:r>
      <w:r>
        <w:rPr>
          <w:b/>
          <w:sz w:val="20"/>
        </w:rPr>
        <w:t>HIGH PRESSURE HOMOGENIZATION (HPH)</w:t>
      </w:r>
    </w:p>
    <w:p>
      <w:pPr>
        <w:pStyle w:val="BodyText"/>
        <w:ind w:right="132"/>
      </w:pPr>
      <w:r>
        <w:rPr/>
        <w:t>High shear</w:t>
      </w:r>
      <w:r>
        <w:rPr>
          <w:spacing w:val="-2"/>
        </w:rPr>
        <w:t> </w:t>
      </w:r>
      <w:r>
        <w:rPr/>
        <w:t>homogenization techniques were</w:t>
      </w:r>
      <w:r>
        <w:rPr>
          <w:spacing w:val="-4"/>
        </w:rPr>
        <w:t> </w:t>
      </w:r>
      <w:r>
        <w:rPr/>
        <w:t>initially</w:t>
      </w:r>
      <w:r>
        <w:rPr>
          <w:spacing w:val="-10"/>
        </w:rPr>
        <w:t> </w:t>
      </w:r>
      <w:r>
        <w:rPr/>
        <w:t>used for the production of solid lipid nanodispersions. It is a reliable and powerful technique. High pressure homogenizers pushes liquid with high pressure (100–2000 bar) through a narrow gap (in</w:t>
      </w:r>
      <w:r>
        <w:rPr>
          <w:spacing w:val="15"/>
        </w:rPr>
        <w:t> </w:t>
      </w:r>
      <w:r>
        <w:rPr/>
        <w:t>the range of a few microns). The fluid accelerates on</w:t>
      </w:r>
      <w:r>
        <w:rPr>
          <w:spacing w:val="40"/>
        </w:rPr>
        <w:t> </w:t>
      </w:r>
      <w:r>
        <w:rPr/>
        <w:t>a very short distance to very high velocity (over 1000 km/h). Very high shear stress and cavitation forces disrupt the particles</w:t>
      </w:r>
      <w:r>
        <w:rPr>
          <w:spacing w:val="-3"/>
        </w:rPr>
        <w:t> </w:t>
      </w:r>
      <w:r>
        <w:rPr/>
        <w:t>down to</w:t>
      </w:r>
      <w:r>
        <w:rPr>
          <w:spacing w:val="-6"/>
        </w:rPr>
        <w:t> </w:t>
      </w:r>
      <w:r>
        <w:rPr/>
        <w:t>the</w:t>
      </w:r>
      <w:r>
        <w:rPr>
          <w:spacing w:val="-5"/>
        </w:rPr>
        <w:t> </w:t>
      </w:r>
      <w:r>
        <w:rPr/>
        <w:t>submicron</w:t>
      </w:r>
      <w:r>
        <w:rPr>
          <w:spacing w:val="-6"/>
        </w:rPr>
        <w:t> </w:t>
      </w:r>
      <w:r>
        <w:rPr/>
        <w:t>range. Generally</w:t>
      </w:r>
      <w:r>
        <w:rPr>
          <w:spacing w:val="-10"/>
        </w:rPr>
        <w:t> </w:t>
      </w:r>
      <w:r>
        <w:rPr/>
        <w:t>5-10%</w:t>
      </w:r>
      <w:r>
        <w:rPr>
          <w:spacing w:val="-2"/>
        </w:rPr>
        <w:t> </w:t>
      </w:r>
      <w:r>
        <w:rPr/>
        <w:t>lipid content is used but up to 40% lipid content has also been investigated</w:t>
      </w:r>
      <w:r>
        <w:rPr>
          <w:vertAlign w:val="superscript"/>
        </w:rPr>
        <w:t>.23</w:t>
      </w:r>
      <w:r>
        <w:rPr>
          <w:vertAlign w:val="baseline"/>
        </w:rPr>
        <w:t> Two general approaches of HPH are hot homogenization and cold homogenization; work on the same concept of mixing the drug in bulk of lipid melt</w:t>
      </w:r>
      <w:r>
        <w:rPr>
          <w:vertAlign w:val="superscript"/>
        </w:rPr>
        <w:t>.24</w:t>
      </w:r>
    </w:p>
    <w:p>
      <w:pPr>
        <w:pStyle w:val="Heading2"/>
      </w:pPr>
      <w:r>
        <w:rPr>
          <w:spacing w:val="-2"/>
        </w:rPr>
        <w:t>HOT HOMOGENIZATION</w:t>
      </w:r>
      <w:r>
        <w:rPr>
          <w:spacing w:val="5"/>
        </w:rPr>
        <w:t> </w:t>
      </w:r>
      <w:r>
        <w:rPr>
          <w:spacing w:val="-2"/>
          <w:vertAlign w:val="superscript"/>
        </w:rPr>
        <w:t>25,26</w:t>
      </w:r>
    </w:p>
    <w:p>
      <w:pPr>
        <w:pStyle w:val="BodyText"/>
        <w:ind w:right="132"/>
      </w:pPr>
      <w:r>
        <w:rPr/>
        <w:t>Hot homogenization is carried out at temperatures above the melting point of the lipid and can therefore it is similar to the homogenization of an emulsion. A pre-emulsion of the drug loaded lipid melt and the aqueous emulsifier phase (same temperature) is obtained by high shear mixing device. The product of</w:t>
      </w:r>
      <w:r>
        <w:rPr>
          <w:spacing w:val="-4"/>
        </w:rPr>
        <w:t> </w:t>
      </w:r>
      <w:r>
        <w:rPr/>
        <w:t>this</w:t>
      </w:r>
      <w:r>
        <w:rPr>
          <w:spacing w:val="-6"/>
        </w:rPr>
        <w:t> </w:t>
      </w:r>
      <w:r>
        <w:rPr/>
        <w:t>process</w:t>
      </w:r>
      <w:r>
        <w:rPr>
          <w:spacing w:val="-1"/>
        </w:rPr>
        <w:t> </w:t>
      </w:r>
      <w:r>
        <w:rPr/>
        <w:t>is</w:t>
      </w:r>
      <w:r>
        <w:rPr>
          <w:spacing w:val="-1"/>
        </w:rPr>
        <w:t> </w:t>
      </w:r>
      <w:r>
        <w:rPr/>
        <w:t>hot o/w</w:t>
      </w:r>
      <w:r>
        <w:rPr>
          <w:spacing w:val="-6"/>
        </w:rPr>
        <w:t> </w:t>
      </w:r>
      <w:r>
        <w:rPr/>
        <w:t>emulsion and the</w:t>
      </w:r>
      <w:r>
        <w:rPr>
          <w:spacing w:val="-3"/>
        </w:rPr>
        <w:t> </w:t>
      </w:r>
      <w:r>
        <w:rPr/>
        <w:t>cooling</w:t>
      </w:r>
      <w:r>
        <w:rPr>
          <w:spacing w:val="-4"/>
        </w:rPr>
        <w:t> </w:t>
      </w:r>
      <w:r>
        <w:rPr/>
        <w:t>of this emulsion leads to crystallization of the lipid and the formation of solid lipid nanoparticle.</w:t>
      </w:r>
    </w:p>
    <w:p>
      <w:pPr>
        <w:pStyle w:val="BodyText"/>
        <w:ind w:right="132"/>
      </w:pPr>
      <w:r>
        <w:rPr/>
        <w:t>High pressure homogenization of the pre-emulsion is done above</w:t>
      </w:r>
      <w:r>
        <w:rPr>
          <w:spacing w:val="-3"/>
        </w:rPr>
        <w:t> </w:t>
      </w:r>
      <w:r>
        <w:rPr/>
        <w:t>the</w:t>
      </w:r>
      <w:r>
        <w:rPr>
          <w:spacing w:val="-3"/>
        </w:rPr>
        <w:t> </w:t>
      </w:r>
      <w:r>
        <w:rPr/>
        <w:t>lipid melting point. The</w:t>
      </w:r>
      <w:r>
        <w:rPr>
          <w:spacing w:val="-8"/>
        </w:rPr>
        <w:t> </w:t>
      </w:r>
      <w:r>
        <w:rPr/>
        <w:t>quality</w:t>
      </w:r>
      <w:r>
        <w:rPr>
          <w:spacing w:val="-9"/>
        </w:rPr>
        <w:t> </w:t>
      </w:r>
      <w:r>
        <w:rPr/>
        <w:t>of</w:t>
      </w:r>
      <w:r>
        <w:rPr>
          <w:spacing w:val="-4"/>
        </w:rPr>
        <w:t> </w:t>
      </w:r>
      <w:r>
        <w:rPr/>
        <w:t>the</w:t>
      </w:r>
      <w:r>
        <w:rPr>
          <w:spacing w:val="-3"/>
        </w:rPr>
        <w:t> </w:t>
      </w:r>
      <w:r>
        <w:rPr/>
        <w:t>pre-emulsion affects the quality of the final product to a great extent and it is desirable to obtain droplets in the size range of a few micrometers. Lower particle sizes are obtained at higher processing temperatures because of lowered viscosity of the lipid phase. However, high temperatures increase the degradation</w:t>
      </w:r>
      <w:r>
        <w:rPr>
          <w:spacing w:val="28"/>
        </w:rPr>
        <w:t> </w:t>
      </w:r>
      <w:r>
        <w:rPr/>
        <w:t>rate</w:t>
      </w:r>
      <w:r>
        <w:rPr>
          <w:spacing w:val="30"/>
        </w:rPr>
        <w:t> </w:t>
      </w:r>
      <w:r>
        <w:rPr/>
        <w:t>of</w:t>
      </w:r>
      <w:r>
        <w:rPr>
          <w:spacing w:val="29"/>
        </w:rPr>
        <w:t> </w:t>
      </w:r>
      <w:r>
        <w:rPr/>
        <w:t>the</w:t>
      </w:r>
      <w:r>
        <w:rPr>
          <w:spacing w:val="30"/>
        </w:rPr>
        <w:t> </w:t>
      </w:r>
      <w:r>
        <w:rPr/>
        <w:t>drug</w:t>
      </w:r>
      <w:r>
        <w:rPr>
          <w:spacing w:val="28"/>
        </w:rPr>
        <w:t> </w:t>
      </w:r>
      <w:r>
        <w:rPr/>
        <w:t>and</w:t>
      </w:r>
      <w:r>
        <w:rPr>
          <w:spacing w:val="29"/>
        </w:rPr>
        <w:t> </w:t>
      </w:r>
      <w:r>
        <w:rPr/>
        <w:t>the</w:t>
      </w:r>
      <w:r>
        <w:rPr>
          <w:spacing w:val="30"/>
        </w:rPr>
        <w:t> </w:t>
      </w:r>
      <w:r>
        <w:rPr/>
        <w:t>carrier.</w:t>
      </w:r>
      <w:r>
        <w:rPr>
          <w:spacing w:val="31"/>
        </w:rPr>
        <w:t> </w:t>
      </w:r>
      <w:r>
        <w:rPr/>
        <w:t>High</w:t>
      </w:r>
      <w:r>
        <w:rPr>
          <w:spacing w:val="34"/>
        </w:rPr>
        <w:t> </w:t>
      </w:r>
      <w:r>
        <w:rPr>
          <w:spacing w:val="-2"/>
        </w:rPr>
        <w:t>pressure</w:t>
      </w:r>
    </w:p>
    <w:p>
      <w:pPr>
        <w:pStyle w:val="BodyText"/>
        <w:spacing w:after="0"/>
        <w:sectPr>
          <w:pgSz w:w="11900" w:h="16820"/>
          <w:pgMar w:header="609" w:footer="849" w:top="1080" w:bottom="1040" w:left="708" w:right="708"/>
          <w:cols w:num="2" w:equalWidth="0">
            <w:col w:w="5144" w:space="103"/>
            <w:col w:w="5237"/>
          </w:cols>
        </w:sectPr>
      </w:pPr>
    </w:p>
    <w:p>
      <w:pPr>
        <w:pStyle w:val="BodyText"/>
        <w:spacing w:before="93"/>
        <w:ind w:right="39"/>
      </w:pPr>
      <w:r>
        <w:rPr/>
        <w:t>processing always increases the temperature of the sample (approximately 10° at 500 bar). In most cases, 3-5 homogenization cycles at 500-1500 bar are sufficient. Increasing the homogenization pressure or the number of cycles often results in an increase of the particle size due to high kinetic energy of the particles</w:t>
      </w:r>
    </w:p>
    <w:p>
      <w:pPr>
        <w:pStyle w:val="Heading2"/>
        <w:spacing w:before="7"/>
      </w:pPr>
      <w:r>
        <w:rPr/>
        <w:t>COLD</w:t>
      </w:r>
      <w:r>
        <w:rPr>
          <w:spacing w:val="-6"/>
        </w:rPr>
        <w:t> </w:t>
      </w:r>
      <w:r>
        <w:rPr>
          <w:spacing w:val="-2"/>
        </w:rPr>
        <w:t>HOMOGENIZATION</w:t>
      </w:r>
    </w:p>
    <w:p>
      <w:pPr>
        <w:pStyle w:val="BodyText"/>
        <w:ind w:right="38"/>
      </w:pPr>
      <w:r>
        <w:rPr/>
        <w:t>Cold homogenization has been developed to overcome various problems associated with hot homogenization such</w:t>
      </w:r>
      <w:r>
        <w:rPr>
          <w:spacing w:val="40"/>
        </w:rPr>
        <w:t> </w:t>
      </w:r>
      <w:r>
        <w:rPr/>
        <w:t>as: Temperature-induced drug degradation, drug distribution into the aqueous phase during homogenization</w:t>
      </w:r>
      <w:r>
        <w:rPr>
          <w:vertAlign w:val="superscript"/>
        </w:rPr>
        <w:t>.27</w:t>
      </w:r>
      <w:r>
        <w:rPr>
          <w:spacing w:val="40"/>
          <w:vertAlign w:val="baseline"/>
        </w:rPr>
        <w:t> </w:t>
      </w:r>
      <w:r>
        <w:rPr>
          <w:vertAlign w:val="baseline"/>
        </w:rPr>
        <w:t>Polymorphic transitions of the lipid due to complexity of the crystallization step of the nanoemulsion leading to several modifications and/or super cooled melts. Drug is</w:t>
      </w:r>
      <w:r>
        <w:rPr>
          <w:spacing w:val="80"/>
          <w:vertAlign w:val="baseline"/>
        </w:rPr>
        <w:t> </w:t>
      </w:r>
      <w:r>
        <w:rPr>
          <w:vertAlign w:val="baseline"/>
        </w:rPr>
        <w:t>incorporated into melted lipid and the lipid melt is cooled upto solidification. Solid material is ground by a mortar mill. Obtained lipid microparticle is dispersed in a cold surfactant solution</w:t>
      </w:r>
      <w:r>
        <w:rPr>
          <w:spacing w:val="-2"/>
          <w:vertAlign w:val="baseline"/>
        </w:rPr>
        <w:t> </w:t>
      </w:r>
      <w:r>
        <w:rPr>
          <w:vertAlign w:val="baseline"/>
        </w:rPr>
        <w:t>at</w:t>
      </w:r>
      <w:r>
        <w:rPr>
          <w:spacing w:val="-10"/>
          <w:vertAlign w:val="baseline"/>
        </w:rPr>
        <w:t> </w:t>
      </w:r>
      <w:r>
        <w:rPr>
          <w:vertAlign w:val="baseline"/>
        </w:rPr>
        <w:t>room temperature</w:t>
      </w:r>
      <w:r>
        <w:rPr>
          <w:spacing w:val="-10"/>
          <w:vertAlign w:val="baseline"/>
        </w:rPr>
        <w:t> </w:t>
      </w:r>
      <w:r>
        <w:rPr>
          <w:vertAlign w:val="baseline"/>
        </w:rPr>
        <w:t>or even</w:t>
      </w:r>
      <w:r>
        <w:rPr>
          <w:spacing w:val="-2"/>
          <w:vertAlign w:val="baseline"/>
        </w:rPr>
        <w:t> </w:t>
      </w:r>
      <w:r>
        <w:rPr>
          <w:vertAlign w:val="baseline"/>
        </w:rPr>
        <w:t>at</w:t>
      </w:r>
      <w:r>
        <w:rPr>
          <w:spacing w:val="-5"/>
          <w:vertAlign w:val="baseline"/>
        </w:rPr>
        <w:t> </w:t>
      </w:r>
      <w:r>
        <w:rPr>
          <w:vertAlign w:val="baseline"/>
        </w:rPr>
        <w:t>temperature</w:t>
      </w:r>
      <w:r>
        <w:rPr>
          <w:spacing w:val="-5"/>
          <w:vertAlign w:val="baseline"/>
        </w:rPr>
        <w:t> </w:t>
      </w:r>
      <w:r>
        <w:rPr>
          <w:vertAlign w:val="baseline"/>
        </w:rPr>
        <w:t>distinctly below</w:t>
      </w:r>
      <w:r>
        <w:rPr>
          <w:spacing w:val="-5"/>
          <w:vertAlign w:val="baseline"/>
        </w:rPr>
        <w:t> </w:t>
      </w:r>
      <w:r>
        <w:rPr>
          <w:vertAlign w:val="baseline"/>
        </w:rPr>
        <w:t>room temperature.</w:t>
      </w:r>
      <w:r>
        <w:rPr>
          <w:spacing w:val="-1"/>
          <w:vertAlign w:val="baseline"/>
        </w:rPr>
        <w:t> </w:t>
      </w:r>
      <w:r>
        <w:rPr>
          <w:vertAlign w:val="baseline"/>
        </w:rPr>
        <w:t>To</w:t>
      </w:r>
      <w:r>
        <w:rPr>
          <w:spacing w:val="-3"/>
          <w:vertAlign w:val="baseline"/>
        </w:rPr>
        <w:t> </w:t>
      </w:r>
      <w:r>
        <w:rPr>
          <w:vertAlign w:val="baseline"/>
        </w:rPr>
        <w:t>ensure</w:t>
      </w:r>
      <w:r>
        <w:rPr>
          <w:spacing w:val="-2"/>
          <w:vertAlign w:val="baseline"/>
        </w:rPr>
        <w:t> </w:t>
      </w:r>
      <w:r>
        <w:rPr>
          <w:vertAlign w:val="baseline"/>
        </w:rPr>
        <w:t>the</w:t>
      </w:r>
      <w:r>
        <w:rPr>
          <w:spacing w:val="-2"/>
          <w:vertAlign w:val="baseline"/>
        </w:rPr>
        <w:t> </w:t>
      </w:r>
      <w:r>
        <w:rPr>
          <w:vertAlign w:val="baseline"/>
        </w:rPr>
        <w:t>solid state</w:t>
      </w:r>
      <w:r>
        <w:rPr>
          <w:spacing w:val="-2"/>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lipid during homogenization, effective temperature regulation is needed. However, compared to hot homogenization, larger particle sizes and a broader size distribution are typical of cold homogenized samples</w:t>
      </w:r>
      <w:r>
        <w:rPr>
          <w:vertAlign w:val="superscript"/>
        </w:rPr>
        <w:t>.28</w:t>
      </w:r>
    </w:p>
    <w:p>
      <w:pPr>
        <w:pStyle w:val="Heading2"/>
        <w:spacing w:line="240" w:lineRule="auto"/>
      </w:pPr>
      <w:r>
        <w:rPr/>
        <w:t>ULTRASONICATION/HIGH</w:t>
      </w:r>
      <w:r>
        <w:rPr>
          <w:spacing w:val="-13"/>
        </w:rPr>
        <w:t> </w:t>
      </w:r>
      <w:r>
        <w:rPr/>
        <w:t>SPEED </w:t>
      </w:r>
      <w:r>
        <w:rPr>
          <w:spacing w:val="-2"/>
        </w:rPr>
        <w:t>HOMOGENIZATION</w:t>
      </w:r>
    </w:p>
    <w:p>
      <w:pPr>
        <w:pStyle w:val="BodyText"/>
        <w:ind w:right="38"/>
      </w:pPr>
      <w:r>
        <w:rPr/>
        <w:t>SLNs are also prepared by ultrasonication or high speed homogenization techniques. The problem of this method is broader particle size distribution ranging into micrometer range. Potential metal contamination and physical instability like particle growth upon storage are the major drawbacks of this technique</w:t>
      </w:r>
      <w:r>
        <w:rPr>
          <w:vertAlign w:val="superscript"/>
        </w:rPr>
        <w:t>.29,30</w:t>
      </w:r>
    </w:p>
    <w:p>
      <w:pPr>
        <w:pStyle w:val="Heading2"/>
        <w:spacing w:line="240" w:lineRule="auto"/>
      </w:pPr>
      <w:r>
        <w:rPr/>
        <w:t>SLNS</w:t>
      </w:r>
      <w:r>
        <w:rPr>
          <w:spacing w:val="-8"/>
        </w:rPr>
        <w:t> </w:t>
      </w:r>
      <w:r>
        <w:rPr/>
        <w:t>PREPARED</w:t>
      </w:r>
      <w:r>
        <w:rPr>
          <w:spacing w:val="-8"/>
        </w:rPr>
        <w:t> </w:t>
      </w:r>
      <w:r>
        <w:rPr/>
        <w:t>BY</w:t>
      </w:r>
      <w:r>
        <w:rPr>
          <w:spacing w:val="-8"/>
        </w:rPr>
        <w:t> </w:t>
      </w:r>
      <w:r>
        <w:rPr/>
        <w:t>SOLVENT</w:t>
      </w:r>
      <w:r>
        <w:rPr>
          <w:spacing w:val="-11"/>
        </w:rPr>
        <w:t> </w:t>
      </w:r>
      <w:r>
        <w:rPr/>
        <w:t>EVAPORATION/ </w:t>
      </w:r>
      <w:r>
        <w:rPr>
          <w:spacing w:val="-2"/>
        </w:rPr>
        <w:t>EMULSIFICATION</w:t>
      </w:r>
    </w:p>
    <w:p>
      <w:pPr>
        <w:pStyle w:val="BodyText"/>
        <w:ind w:right="38"/>
      </w:pPr>
      <w:r>
        <w:rPr/>
        <w:t>SLNs are also prepared by solvent evaporation method. Sjostrom and Bergenstahl described a production method to prepare nanoparticle dispersions by precipitation in o/w emulsions.</w:t>
      </w:r>
      <w:r>
        <w:rPr>
          <w:vertAlign w:val="superscript"/>
        </w:rPr>
        <w:t>31</w:t>
      </w:r>
      <w:r>
        <w:rPr>
          <w:vertAlign w:val="baseline"/>
        </w:rPr>
        <w:t> The lipophilic material is dissolved in a water- immiscible organic solvent (e.g. cyclohexane) that is emulsified in an aqueous phase. Upon evaporation of the solvent,</w:t>
      </w:r>
      <w:r>
        <w:rPr>
          <w:spacing w:val="-9"/>
          <w:vertAlign w:val="baseline"/>
        </w:rPr>
        <w:t> </w:t>
      </w:r>
      <w:r>
        <w:rPr>
          <w:vertAlign w:val="baseline"/>
        </w:rPr>
        <w:t>nanoparticles</w:t>
      </w:r>
      <w:r>
        <w:rPr>
          <w:spacing w:val="-3"/>
          <w:vertAlign w:val="baseline"/>
        </w:rPr>
        <w:t> </w:t>
      </w:r>
      <w:r>
        <w:rPr>
          <w:vertAlign w:val="baseline"/>
        </w:rPr>
        <w:t>dispersion</w:t>
      </w:r>
      <w:r>
        <w:rPr>
          <w:spacing w:val="-2"/>
          <w:vertAlign w:val="baseline"/>
        </w:rPr>
        <w:t> </w:t>
      </w:r>
      <w:r>
        <w:rPr>
          <w:vertAlign w:val="baseline"/>
        </w:rPr>
        <w:t>is</w:t>
      </w:r>
      <w:r>
        <w:rPr>
          <w:spacing w:val="-3"/>
          <w:vertAlign w:val="baseline"/>
        </w:rPr>
        <w:t> </w:t>
      </w:r>
      <w:r>
        <w:rPr>
          <w:vertAlign w:val="baseline"/>
        </w:rPr>
        <w:t>formed</w:t>
      </w:r>
      <w:r>
        <w:rPr>
          <w:spacing w:val="-2"/>
          <w:vertAlign w:val="baseline"/>
        </w:rPr>
        <w:t> </w:t>
      </w:r>
      <w:r>
        <w:rPr>
          <w:vertAlign w:val="baseline"/>
        </w:rPr>
        <w:t>by</w:t>
      </w:r>
      <w:r>
        <w:rPr>
          <w:spacing w:val="-11"/>
          <w:vertAlign w:val="baseline"/>
        </w:rPr>
        <w:t> </w:t>
      </w:r>
      <w:r>
        <w:rPr>
          <w:vertAlign w:val="baseline"/>
        </w:rPr>
        <w:t>precipitation</w:t>
      </w:r>
      <w:r>
        <w:rPr>
          <w:spacing w:val="-2"/>
          <w:vertAlign w:val="baseline"/>
        </w:rPr>
        <w:t> </w:t>
      </w:r>
      <w:r>
        <w:rPr>
          <w:vertAlign w:val="baseline"/>
        </w:rPr>
        <w:t>of the lipid in the aqueous medium by giving the nanoparticles of 25 nm mean size</w:t>
      </w:r>
      <w:r>
        <w:rPr>
          <w:vertAlign w:val="superscript"/>
        </w:rPr>
        <w:t>.32,33</w:t>
      </w:r>
      <w:r>
        <w:rPr>
          <w:vertAlign w:val="baseline"/>
        </w:rPr>
        <w:t> Siekmann and Westesen also prepared solid lipid nanoparticles of 30 to 100 nm by dissolving tripalmitin in chloroform. This solution was emulsified in an aqueous phase by high pressure homogenization. The organic solvent was removed from the emulsion by evaporation under reduced pressure (40–60 </w:t>
      </w:r>
      <w:r>
        <w:rPr>
          <w:spacing w:val="-2"/>
          <w:vertAlign w:val="baseline"/>
        </w:rPr>
        <w:t>mbar).</w:t>
      </w:r>
      <w:r>
        <w:rPr>
          <w:spacing w:val="-2"/>
          <w:vertAlign w:val="superscript"/>
        </w:rPr>
        <w:t>34</w:t>
      </w:r>
    </w:p>
    <w:p>
      <w:pPr>
        <w:pStyle w:val="Heading2"/>
        <w:spacing w:before="1"/>
      </w:pPr>
      <w:r>
        <w:rPr>
          <w:spacing w:val="-2"/>
        </w:rPr>
        <w:t>MICROEMULSION</w:t>
      </w:r>
      <w:r>
        <w:rPr/>
        <w:t> </w:t>
      </w:r>
      <w:r>
        <w:rPr>
          <w:spacing w:val="-2"/>
        </w:rPr>
        <w:t>BASED</w:t>
      </w:r>
      <w:r>
        <w:rPr>
          <w:spacing w:val="8"/>
        </w:rPr>
        <w:t> </w:t>
      </w:r>
      <w:r>
        <w:rPr>
          <w:spacing w:val="-2"/>
        </w:rPr>
        <w:t>METHOD</w:t>
      </w:r>
    </w:p>
    <w:p>
      <w:pPr>
        <w:pStyle w:val="BodyText"/>
        <w:ind w:right="38"/>
      </w:pPr>
      <w:r>
        <w:rPr/>
        <w:t>This method is based on the dilution of</w:t>
      </w:r>
      <w:r>
        <w:rPr>
          <w:spacing w:val="-1"/>
        </w:rPr>
        <w:t> </w:t>
      </w:r>
      <w:r>
        <w:rPr/>
        <w:t>microemulsions</w:t>
      </w:r>
      <w:r>
        <w:rPr>
          <w:vertAlign w:val="superscript"/>
        </w:rPr>
        <w:t>.35</w:t>
      </w:r>
      <w:r>
        <w:rPr>
          <w:vertAlign w:val="baseline"/>
        </w:rPr>
        <w:t> As microemulsions are two-phase systems composed of</w:t>
      </w:r>
      <w:r>
        <w:rPr>
          <w:spacing w:val="-1"/>
          <w:vertAlign w:val="baseline"/>
        </w:rPr>
        <w:t> </w:t>
      </w:r>
      <w:r>
        <w:rPr>
          <w:vertAlign w:val="baseline"/>
        </w:rPr>
        <w:t>an inner and outer phase</w:t>
      </w:r>
      <w:r>
        <w:rPr>
          <w:spacing w:val="-3"/>
          <w:vertAlign w:val="baseline"/>
        </w:rPr>
        <w:t> </w:t>
      </w:r>
      <w:r>
        <w:rPr>
          <w:vertAlign w:val="baseline"/>
        </w:rPr>
        <w:t>(e.g. o/w</w:t>
      </w:r>
      <w:r>
        <w:rPr>
          <w:spacing w:val="-6"/>
          <w:vertAlign w:val="baseline"/>
        </w:rPr>
        <w:t> </w:t>
      </w:r>
      <w:r>
        <w:rPr>
          <w:vertAlign w:val="baseline"/>
        </w:rPr>
        <w:t>microemulsions).</w:t>
      </w:r>
      <w:r>
        <w:rPr>
          <w:spacing w:val="-2"/>
          <w:vertAlign w:val="baseline"/>
        </w:rPr>
        <w:t> </w:t>
      </w:r>
      <w:r>
        <w:rPr>
          <w:vertAlign w:val="baseline"/>
        </w:rPr>
        <w:t>They</w:t>
      </w:r>
      <w:r>
        <w:rPr>
          <w:spacing w:val="-9"/>
          <w:vertAlign w:val="baseline"/>
        </w:rPr>
        <w:t> </w:t>
      </w:r>
      <w:r>
        <w:rPr>
          <w:vertAlign w:val="baseline"/>
        </w:rPr>
        <w:t>are</w:t>
      </w:r>
      <w:r>
        <w:rPr>
          <w:spacing w:val="-3"/>
          <w:vertAlign w:val="baseline"/>
        </w:rPr>
        <w:t> </w:t>
      </w:r>
      <w:r>
        <w:rPr>
          <w:vertAlign w:val="baseline"/>
        </w:rPr>
        <w:t>made</w:t>
      </w:r>
      <w:r>
        <w:rPr>
          <w:spacing w:val="-3"/>
          <w:vertAlign w:val="baseline"/>
        </w:rPr>
        <w:t> </w:t>
      </w:r>
      <w:r>
        <w:rPr>
          <w:vertAlign w:val="baseline"/>
        </w:rPr>
        <w:t>by stirring an optically transparent mixture at 65-70°C which is typically composed of a low melting fatty acid (e.g. stearic acid), an emulsifier (e.g. polysorbate 20, polysorbate 60, soy phosphatidylcholine and taurodeoxycholic acid sodium salt), co-emulsifiers (e.g. butanol, sodium monooctylphosphate) and water. The hot microemulsion is dispersed in cold water (2-3°C) under stirring</w:t>
      </w:r>
      <w:r>
        <w:rPr>
          <w:vertAlign w:val="superscript"/>
        </w:rPr>
        <w:t>.36</w:t>
      </w:r>
      <w:r>
        <w:rPr>
          <w:vertAlign w:val="baseline"/>
        </w:rPr>
        <w:t> The precipitation of the lipid</w:t>
      </w:r>
      <w:r>
        <w:rPr>
          <w:spacing w:val="40"/>
          <w:vertAlign w:val="baseline"/>
        </w:rPr>
        <w:t> </w:t>
      </w:r>
      <w:r>
        <w:rPr>
          <w:vertAlign w:val="baseline"/>
        </w:rPr>
        <w:t>particles in water is the dilution of the system that leads to reduction of solid content of SLN dispersion. The SLN dispersion can be used as granulation fluid for transferring</w:t>
      </w:r>
      <w:r>
        <w:rPr>
          <w:spacing w:val="-1"/>
          <w:vertAlign w:val="baseline"/>
        </w:rPr>
        <w:t> </w:t>
      </w:r>
      <w:r>
        <w:rPr>
          <w:vertAlign w:val="baseline"/>
        </w:rPr>
        <w:t>in to</w:t>
      </w:r>
      <w:r>
        <w:rPr>
          <w:spacing w:val="7"/>
          <w:vertAlign w:val="baseline"/>
        </w:rPr>
        <w:t> </w:t>
      </w:r>
      <w:r>
        <w:rPr>
          <w:vertAlign w:val="baseline"/>
        </w:rPr>
        <w:t>solid</w:t>
      </w:r>
      <w:r>
        <w:rPr>
          <w:spacing w:val="14"/>
          <w:vertAlign w:val="baseline"/>
        </w:rPr>
        <w:t> </w:t>
      </w:r>
      <w:r>
        <w:rPr>
          <w:vertAlign w:val="baseline"/>
        </w:rPr>
        <w:t>product</w:t>
      </w:r>
      <w:r>
        <w:rPr>
          <w:spacing w:val="15"/>
          <w:vertAlign w:val="baseline"/>
        </w:rPr>
        <w:t> </w:t>
      </w:r>
      <w:r>
        <w:rPr>
          <w:vertAlign w:val="baseline"/>
        </w:rPr>
        <w:t>(tablets,</w:t>
      </w:r>
      <w:r>
        <w:rPr>
          <w:spacing w:val="16"/>
          <w:vertAlign w:val="baseline"/>
        </w:rPr>
        <w:t> </w:t>
      </w:r>
      <w:r>
        <w:rPr>
          <w:vertAlign w:val="baseline"/>
        </w:rPr>
        <w:t>pellets)</w:t>
      </w:r>
      <w:r>
        <w:rPr>
          <w:spacing w:val="10"/>
          <w:vertAlign w:val="baseline"/>
        </w:rPr>
        <w:t> </w:t>
      </w:r>
      <w:r>
        <w:rPr>
          <w:vertAlign w:val="baseline"/>
        </w:rPr>
        <w:t>by</w:t>
      </w:r>
      <w:r>
        <w:rPr>
          <w:spacing w:val="5"/>
          <w:vertAlign w:val="baseline"/>
        </w:rPr>
        <w:t> </w:t>
      </w:r>
      <w:r>
        <w:rPr>
          <w:vertAlign w:val="baseline"/>
        </w:rPr>
        <w:t>granulation</w:t>
      </w:r>
      <w:r>
        <w:rPr>
          <w:spacing w:val="18"/>
          <w:vertAlign w:val="baseline"/>
        </w:rPr>
        <w:t> </w:t>
      </w:r>
      <w:r>
        <w:rPr>
          <w:vertAlign w:val="baseline"/>
        </w:rPr>
        <w:t>process,</w:t>
      </w:r>
      <w:r>
        <w:rPr>
          <w:spacing w:val="16"/>
          <w:vertAlign w:val="baseline"/>
        </w:rPr>
        <w:t> </w:t>
      </w:r>
      <w:r>
        <w:rPr>
          <w:spacing w:val="-5"/>
          <w:vertAlign w:val="baseline"/>
        </w:rPr>
        <w:t>but</w:t>
      </w:r>
    </w:p>
    <w:p>
      <w:pPr>
        <w:pStyle w:val="BodyText"/>
        <w:spacing w:before="93"/>
        <w:ind w:right="132"/>
      </w:pPr>
      <w:r>
        <w:rPr/>
        <w:br w:type="column"/>
      </w:r>
      <w:r>
        <w:rPr/>
        <w:t>in case of low particle content too much water needs to be removed. In microemulsions, the temperature gradient and</w:t>
      </w:r>
      <w:r>
        <w:rPr>
          <w:spacing w:val="40"/>
        </w:rPr>
        <w:t> </w:t>
      </w:r>
      <w:r>
        <w:rPr/>
        <w:t>the pH value fix the product quality in addition to the composition of the microemulsion</w:t>
      </w:r>
      <w:r>
        <w:rPr>
          <w:vertAlign w:val="superscript"/>
        </w:rPr>
        <w:t>.37</w:t>
      </w:r>
    </w:p>
    <w:p>
      <w:pPr>
        <w:pStyle w:val="Heading2"/>
        <w:spacing w:before="7"/>
      </w:pPr>
      <w:r>
        <w:rPr/>
        <w:t>SPRAY</w:t>
      </w:r>
      <w:r>
        <w:rPr>
          <w:spacing w:val="-5"/>
        </w:rPr>
        <w:t> </w:t>
      </w:r>
      <w:r>
        <w:rPr/>
        <w:t>DRYING</w:t>
      </w:r>
      <w:r>
        <w:rPr>
          <w:spacing w:val="-10"/>
        </w:rPr>
        <w:t> </w:t>
      </w:r>
      <w:r>
        <w:rPr>
          <w:spacing w:val="-2"/>
        </w:rPr>
        <w:t>METHOD</w:t>
      </w:r>
    </w:p>
    <w:p>
      <w:pPr>
        <w:pStyle w:val="BodyText"/>
        <w:ind w:right="133"/>
      </w:pPr>
      <w:r>
        <w:rPr/>
        <w:t>It's an alternative procedure to lyophilization in order to transform an aqueous SLN dispersion into a drug product. This method cause particle aggregation due to high temperature, shear forces and partial melting of the particle. Freitas</w:t>
      </w:r>
      <w:r>
        <w:rPr>
          <w:spacing w:val="-2"/>
        </w:rPr>
        <w:t> </w:t>
      </w:r>
      <w:r>
        <w:rPr/>
        <w:t>and</w:t>
      </w:r>
      <w:r>
        <w:rPr>
          <w:spacing w:val="-1"/>
        </w:rPr>
        <w:t> </w:t>
      </w:r>
      <w:r>
        <w:rPr/>
        <w:t>Mullera</w:t>
      </w:r>
      <w:r>
        <w:rPr>
          <w:spacing w:val="-8"/>
        </w:rPr>
        <w:t> </w:t>
      </w:r>
      <w:r>
        <w:rPr/>
        <w:t>recommends</w:t>
      </w:r>
      <w:r>
        <w:rPr>
          <w:spacing w:val="-2"/>
        </w:rPr>
        <w:t> </w:t>
      </w:r>
      <w:r>
        <w:rPr/>
        <w:t>the</w:t>
      </w:r>
      <w:r>
        <w:rPr>
          <w:spacing w:val="-8"/>
        </w:rPr>
        <w:t> </w:t>
      </w:r>
      <w:r>
        <w:rPr/>
        <w:t>use</w:t>
      </w:r>
      <w:r>
        <w:rPr>
          <w:spacing w:val="-3"/>
        </w:rPr>
        <w:t> </w:t>
      </w:r>
      <w:r>
        <w:rPr/>
        <w:t>of</w:t>
      </w:r>
      <w:r>
        <w:rPr>
          <w:spacing w:val="-4"/>
        </w:rPr>
        <w:t> </w:t>
      </w:r>
      <w:r>
        <w:rPr/>
        <w:t>lipid</w:t>
      </w:r>
      <w:r>
        <w:rPr>
          <w:spacing w:val="-1"/>
        </w:rPr>
        <w:t> </w:t>
      </w:r>
      <w:r>
        <w:rPr/>
        <w:t>with</w:t>
      </w:r>
      <w:r>
        <w:rPr>
          <w:spacing w:val="-1"/>
        </w:rPr>
        <w:t> </w:t>
      </w:r>
      <w:r>
        <w:rPr/>
        <w:t>melting point &gt;70° for spray drying. The best result was obtained</w:t>
      </w:r>
      <w:r>
        <w:rPr>
          <w:spacing w:val="40"/>
        </w:rPr>
        <w:t> </w:t>
      </w:r>
      <w:r>
        <w:rPr/>
        <w:t>with SLN concentration of 1% in a solution of trehalose in water or 20% trehalose in ethanol-water mixtures (10/90 </w:t>
      </w:r>
      <w:r>
        <w:rPr>
          <w:spacing w:val="-2"/>
        </w:rPr>
        <w:t>v/v).</w:t>
      </w:r>
      <w:r>
        <w:rPr>
          <w:spacing w:val="-2"/>
          <w:vertAlign w:val="superscript"/>
        </w:rPr>
        <w:t>38</w:t>
      </w:r>
    </w:p>
    <w:p>
      <w:pPr>
        <w:pStyle w:val="Heading2"/>
        <w:spacing w:before="1"/>
      </w:pPr>
      <w:r>
        <w:rPr>
          <w:spacing w:val="-2"/>
        </w:rPr>
        <w:t>SUPERCRITICAL</w:t>
      </w:r>
      <w:r>
        <w:rPr>
          <w:spacing w:val="3"/>
        </w:rPr>
        <w:t> </w:t>
      </w:r>
      <w:r>
        <w:rPr>
          <w:spacing w:val="-2"/>
        </w:rPr>
        <w:t>FLUID</w:t>
      </w:r>
      <w:r>
        <w:rPr>
          <w:spacing w:val="3"/>
        </w:rPr>
        <w:t> </w:t>
      </w:r>
      <w:r>
        <w:rPr>
          <w:spacing w:val="-2"/>
        </w:rPr>
        <w:t>METHOD</w:t>
      </w:r>
    </w:p>
    <w:p>
      <w:pPr>
        <w:pStyle w:val="BodyText"/>
        <w:ind w:right="133"/>
      </w:pPr>
      <w:r>
        <w:rPr/>
        <w:t>This is an alternative method of preparing SLNs by particles from gas saturated solutions (PGSS). This technique has several advantages such as (i) avoid the use of solvents; (ii) Particles are obtained as a dry powder, instead of</w:t>
      </w:r>
      <w:r>
        <w:rPr>
          <w:spacing w:val="40"/>
        </w:rPr>
        <w:t> </w:t>
      </w:r>
      <w:r>
        <w:rPr/>
        <w:t>suspensions, (iii) mild pressure and temperature conditions. Carbon dioxide solution is the good choice as a solvent for this method.</w:t>
      </w:r>
      <w:r>
        <w:rPr>
          <w:vertAlign w:val="superscript"/>
        </w:rPr>
        <w:t>39,40</w:t>
      </w:r>
    </w:p>
    <w:p>
      <w:pPr>
        <w:pStyle w:val="Heading2"/>
        <w:spacing w:before="1"/>
      </w:pPr>
      <w:r>
        <w:rPr/>
        <w:t>DOUBLE</w:t>
      </w:r>
      <w:r>
        <w:rPr>
          <w:spacing w:val="-11"/>
        </w:rPr>
        <w:t> </w:t>
      </w:r>
      <w:r>
        <w:rPr/>
        <w:t>EMULSION</w:t>
      </w:r>
      <w:r>
        <w:rPr>
          <w:spacing w:val="-11"/>
        </w:rPr>
        <w:t> </w:t>
      </w:r>
      <w:r>
        <w:rPr>
          <w:spacing w:val="-2"/>
        </w:rPr>
        <w:t>METHOD</w:t>
      </w:r>
    </w:p>
    <w:p>
      <w:pPr>
        <w:pStyle w:val="BodyText"/>
        <w:ind w:right="132"/>
      </w:pPr>
      <w:r>
        <w:rPr/>
        <w:t>For the preparation of hydrophilic loaded SLN, a novel method</w:t>
      </w:r>
      <w:r>
        <w:rPr>
          <w:spacing w:val="-3"/>
        </w:rPr>
        <w:t> </w:t>
      </w:r>
      <w:r>
        <w:rPr/>
        <w:t>based on solvent</w:t>
      </w:r>
      <w:r>
        <w:rPr>
          <w:spacing w:val="-2"/>
        </w:rPr>
        <w:t> </w:t>
      </w:r>
      <w:r>
        <w:rPr/>
        <w:t>emulsification-evaporation</w:t>
      </w:r>
      <w:r>
        <w:rPr>
          <w:spacing w:val="-3"/>
        </w:rPr>
        <w:t> </w:t>
      </w:r>
      <w:r>
        <w:rPr/>
        <w:t>has</w:t>
      </w:r>
      <w:r>
        <w:rPr>
          <w:spacing w:val="-4"/>
        </w:rPr>
        <w:t> </w:t>
      </w:r>
      <w:r>
        <w:rPr/>
        <w:t>been used. Here the drug is encapsulated with a stabilizer to prevent drug partitioning to external water phase during solvent evaporation in the external water phase of w/o/w double emulsion</w:t>
      </w:r>
      <w:r>
        <w:rPr>
          <w:b/>
          <w:vertAlign w:val="superscript"/>
        </w:rPr>
        <w:t>.</w:t>
      </w:r>
      <w:r>
        <w:rPr>
          <w:vertAlign w:val="superscript"/>
        </w:rPr>
        <w:t>41</w:t>
      </w:r>
    </w:p>
    <w:p>
      <w:pPr>
        <w:pStyle w:val="Heading2"/>
        <w:spacing w:line="225" w:lineRule="exact" w:before="5"/>
      </w:pPr>
      <w:r>
        <w:rPr/>
        <w:t>CHARACTERIZATION</w:t>
      </w:r>
      <w:r>
        <w:rPr>
          <w:spacing w:val="-13"/>
        </w:rPr>
        <w:t> </w:t>
      </w:r>
      <w:r>
        <w:rPr/>
        <w:t>OF</w:t>
      </w:r>
      <w:r>
        <w:rPr>
          <w:spacing w:val="-11"/>
        </w:rPr>
        <w:t> </w:t>
      </w:r>
      <w:r>
        <w:rPr>
          <w:spacing w:val="-2"/>
        </w:rPr>
        <w:t>SLNS</w:t>
      </w:r>
      <w:r>
        <w:rPr>
          <w:spacing w:val="-2"/>
          <w:vertAlign w:val="superscript"/>
        </w:rPr>
        <w:t>42,43,44</w:t>
      </w:r>
    </w:p>
    <w:p>
      <w:pPr>
        <w:pStyle w:val="BodyText"/>
        <w:ind w:right="130"/>
      </w:pPr>
      <w:r>
        <w:rPr/>
        <w:t>Characterization of solid lipid nanoparticles is a serious challenge</w:t>
      </w:r>
      <w:r>
        <w:rPr>
          <w:spacing w:val="-1"/>
        </w:rPr>
        <w:t> </w:t>
      </w:r>
      <w:r>
        <w:rPr/>
        <w:t>due</w:t>
      </w:r>
      <w:r>
        <w:rPr>
          <w:spacing w:val="-1"/>
        </w:rPr>
        <w:t> </w:t>
      </w:r>
      <w:r>
        <w:rPr/>
        <w:t>to</w:t>
      </w:r>
      <w:r>
        <w:rPr>
          <w:spacing w:val="-2"/>
        </w:rPr>
        <w:t> </w:t>
      </w:r>
      <w:r>
        <w:rPr/>
        <w:t>the</w:t>
      </w:r>
      <w:r>
        <w:rPr>
          <w:spacing w:val="-1"/>
        </w:rPr>
        <w:t> </w:t>
      </w:r>
      <w:r>
        <w:rPr/>
        <w:t>small size</w:t>
      </w:r>
      <w:r>
        <w:rPr>
          <w:spacing w:val="-1"/>
        </w:rPr>
        <w:t> </w:t>
      </w:r>
      <w:r>
        <w:rPr/>
        <w:t>of</w:t>
      </w:r>
      <w:r>
        <w:rPr>
          <w:spacing w:val="-2"/>
        </w:rPr>
        <w:t> </w:t>
      </w:r>
      <w:r>
        <w:rPr/>
        <w:t>the</w:t>
      </w:r>
      <w:r>
        <w:rPr>
          <w:spacing w:val="-1"/>
        </w:rPr>
        <w:t> </w:t>
      </w:r>
      <w:r>
        <w:rPr/>
        <w:t>particles andcomplexity of the system. The important parameters which need to be evaluated for the SLNs are, particle size, size distribution kinetics (zeta potential), degree of crystallinity and lipid modification (polymorphism), coexistence of additional colloidal structures (micelles, liposome, super cooled, melts, drug</w:t>
      </w:r>
      <w:r>
        <w:rPr>
          <w:spacing w:val="-2"/>
        </w:rPr>
        <w:t> </w:t>
      </w:r>
      <w:r>
        <w:rPr/>
        <w:t>nanoparticles), time</w:t>
      </w:r>
      <w:r>
        <w:rPr>
          <w:spacing w:val="-5"/>
        </w:rPr>
        <w:t> </w:t>
      </w:r>
      <w:r>
        <w:rPr/>
        <w:t>scale of</w:t>
      </w:r>
      <w:r>
        <w:rPr>
          <w:spacing w:val="-2"/>
        </w:rPr>
        <w:t> </w:t>
      </w:r>
      <w:r>
        <w:rPr/>
        <w:t>distribution processes, drug content, in vitro drug release and surface morphology.</w:t>
      </w:r>
    </w:p>
    <w:p>
      <w:pPr>
        <w:pStyle w:val="Heading2"/>
        <w:spacing w:before="4"/>
      </w:pPr>
      <w:r>
        <w:rPr/>
        <w:t>PARTICLE</w:t>
      </w:r>
      <w:r>
        <w:rPr>
          <w:spacing w:val="-6"/>
        </w:rPr>
        <w:t> </w:t>
      </w:r>
      <w:r>
        <w:rPr/>
        <w:t>SIZE</w:t>
      </w:r>
      <w:r>
        <w:rPr>
          <w:spacing w:val="-6"/>
        </w:rPr>
        <w:t> </w:t>
      </w:r>
      <w:r>
        <w:rPr/>
        <w:t>AND</w:t>
      </w:r>
      <w:r>
        <w:rPr>
          <w:spacing w:val="-6"/>
        </w:rPr>
        <w:t> </w:t>
      </w:r>
      <w:r>
        <w:rPr/>
        <w:t>ZETA</w:t>
      </w:r>
      <w:r>
        <w:rPr>
          <w:spacing w:val="-6"/>
        </w:rPr>
        <w:t> </w:t>
      </w:r>
      <w:r>
        <w:rPr>
          <w:spacing w:val="-2"/>
        </w:rPr>
        <w:t>POTENTIAL</w:t>
      </w:r>
    </w:p>
    <w:p>
      <w:pPr>
        <w:pStyle w:val="BodyText"/>
        <w:ind w:right="130"/>
      </w:pPr>
      <w:r>
        <w:rPr/>
        <w:t>Particle size may be determined by photon correlation spectroscopy (PCS), transmission electron microscopy (TEM), scanning electron microscopy (SEM), atomic force microscopy (AFM), scanning tunneling microscopy (STM), freeze fracture electron microscopy (FFEM) and laser diffraction (LD).</w:t>
      </w:r>
    </w:p>
    <w:p>
      <w:pPr>
        <w:pStyle w:val="Heading2"/>
        <w:spacing w:line="240" w:lineRule="auto"/>
        <w:ind w:right="494"/>
      </w:pPr>
      <w:r>
        <w:rPr/>
        <w:t>MEASUREMENT</w:t>
      </w:r>
      <w:r>
        <w:rPr>
          <w:spacing w:val="-9"/>
        </w:rPr>
        <w:t> </w:t>
      </w:r>
      <w:r>
        <w:rPr/>
        <w:t>OF</w:t>
      </w:r>
      <w:r>
        <w:rPr>
          <w:spacing w:val="-7"/>
        </w:rPr>
        <w:t> </w:t>
      </w:r>
      <w:r>
        <w:rPr/>
        <w:t>PARTICLE</w:t>
      </w:r>
      <w:r>
        <w:rPr>
          <w:spacing w:val="-4"/>
        </w:rPr>
        <w:t> </w:t>
      </w:r>
      <w:r>
        <w:rPr/>
        <w:t>SIZE</w:t>
      </w:r>
      <w:r>
        <w:rPr>
          <w:spacing w:val="-9"/>
        </w:rPr>
        <w:t> </w:t>
      </w:r>
      <w:r>
        <w:rPr/>
        <w:t>AND</w:t>
      </w:r>
      <w:r>
        <w:rPr>
          <w:spacing w:val="-5"/>
        </w:rPr>
        <w:t> </w:t>
      </w:r>
      <w:r>
        <w:rPr/>
        <w:t>ZETA </w:t>
      </w:r>
      <w:r>
        <w:rPr>
          <w:spacing w:val="-2"/>
        </w:rPr>
        <w:t>POTENTIAL</w:t>
      </w:r>
    </w:p>
    <w:p>
      <w:pPr>
        <w:pStyle w:val="BodyText"/>
        <w:ind w:right="130"/>
      </w:pPr>
      <w:r>
        <w:rPr/>
        <w:t>Photon correlation spectroscopy (PCS) and laser diffraction (LD) are the most powerful techniques for routine measurements of particle size. The Coulter method is rarely used to measure SLN particle size because of difficulties in the assessment of small nanoparticle and the need of electrolytes which may destabilize colloidal dispersions. . PCS (also known dynamic light scattering) measures the fluctuation of the intensity of the scattered light which is caused by the particle movement. This method covers a size range from a few</w:t>
      </w:r>
      <w:r>
        <w:rPr>
          <w:spacing w:val="-1"/>
        </w:rPr>
        <w:t> </w:t>
      </w:r>
      <w:r>
        <w:rPr/>
        <w:t>nanometers</w:t>
      </w:r>
      <w:r>
        <w:rPr>
          <w:spacing w:val="-1"/>
        </w:rPr>
        <w:t> </w:t>
      </w:r>
      <w:r>
        <w:rPr/>
        <w:t>to about 3 microns. This</w:t>
      </w:r>
      <w:r>
        <w:rPr>
          <w:spacing w:val="-1"/>
        </w:rPr>
        <w:t> </w:t>
      </w:r>
      <w:r>
        <w:rPr/>
        <w:t>means that PCS is a good tool to characterize</w:t>
      </w:r>
      <w:r>
        <w:rPr>
          <w:spacing w:val="-4"/>
        </w:rPr>
        <w:t> </w:t>
      </w:r>
      <w:r>
        <w:rPr/>
        <w:t>nanoparticles, but it is not able to detect larger microparticles. They can be visualized by means of LD measurements. This method is based on the dependence of the diffraction angle on the particle</w:t>
      </w:r>
      <w:r>
        <w:rPr>
          <w:spacing w:val="19"/>
        </w:rPr>
        <w:t> </w:t>
      </w:r>
      <w:r>
        <w:rPr/>
        <w:t>radius</w:t>
      </w:r>
      <w:r>
        <w:rPr>
          <w:spacing w:val="20"/>
        </w:rPr>
        <w:t> </w:t>
      </w:r>
      <w:r>
        <w:rPr/>
        <w:t>(Fraunhofer</w:t>
      </w:r>
      <w:r>
        <w:rPr>
          <w:spacing w:val="26"/>
        </w:rPr>
        <w:t> </w:t>
      </w:r>
      <w:r>
        <w:rPr/>
        <w:t>spectra).</w:t>
      </w:r>
      <w:r>
        <w:rPr>
          <w:spacing w:val="25"/>
        </w:rPr>
        <w:t> </w:t>
      </w:r>
      <w:r>
        <w:rPr/>
        <w:t>Smaller</w:t>
      </w:r>
      <w:r>
        <w:rPr>
          <w:spacing w:val="21"/>
        </w:rPr>
        <w:t> </w:t>
      </w:r>
      <w:r>
        <w:rPr/>
        <w:t>particles</w:t>
      </w:r>
      <w:r>
        <w:rPr>
          <w:spacing w:val="21"/>
        </w:rPr>
        <w:t> </w:t>
      </w:r>
      <w:r>
        <w:rPr>
          <w:spacing w:val="-2"/>
        </w:rPr>
        <w:t>cause</w:t>
      </w:r>
    </w:p>
    <w:p>
      <w:pPr>
        <w:pStyle w:val="BodyText"/>
        <w:spacing w:after="0"/>
        <w:sectPr>
          <w:pgSz w:w="11900" w:h="16820"/>
          <w:pgMar w:header="609" w:footer="849" w:top="1080" w:bottom="1040" w:left="708" w:right="708"/>
          <w:cols w:num="2" w:equalWidth="0">
            <w:col w:w="5145" w:space="101"/>
            <w:col w:w="5238"/>
          </w:cols>
        </w:sectPr>
      </w:pPr>
    </w:p>
    <w:p>
      <w:pPr>
        <w:pStyle w:val="BodyText"/>
        <w:spacing w:before="93"/>
        <w:ind w:right="38"/>
      </w:pPr>
      <w:r>
        <w:rPr/>
        <w:t>more intense scattering at high angles compared to the larger ones. A clear advantage</w:t>
      </w:r>
      <w:r>
        <w:rPr>
          <w:spacing w:val="-2"/>
        </w:rPr>
        <w:t> </w:t>
      </w:r>
      <w:r>
        <w:rPr/>
        <w:t>of LD is the</w:t>
      </w:r>
      <w:r>
        <w:rPr>
          <w:spacing w:val="-2"/>
        </w:rPr>
        <w:t> </w:t>
      </w:r>
      <w:r>
        <w:rPr/>
        <w:t>coverage</w:t>
      </w:r>
      <w:r>
        <w:rPr>
          <w:spacing w:val="-2"/>
        </w:rPr>
        <w:t> </w:t>
      </w:r>
      <w:r>
        <w:rPr/>
        <w:t>of a broad size range from the nanometer to the lower millimeter range. It should be kept in mind that both methods are not measuring particle sizes; rather they detect light scatting effects which are</w:t>
      </w:r>
      <w:r>
        <w:rPr>
          <w:spacing w:val="-3"/>
        </w:rPr>
        <w:t> </w:t>
      </w:r>
      <w:r>
        <w:rPr/>
        <w:t>used</w:t>
      </w:r>
      <w:r>
        <w:rPr>
          <w:spacing w:val="-1"/>
        </w:rPr>
        <w:t> </w:t>
      </w:r>
      <w:r>
        <w:rPr/>
        <w:t>to</w:t>
      </w:r>
      <w:r>
        <w:rPr>
          <w:spacing w:val="-4"/>
        </w:rPr>
        <w:t> </w:t>
      </w:r>
      <w:r>
        <w:rPr/>
        <w:t>calculate</w:t>
      </w:r>
      <w:r>
        <w:rPr>
          <w:spacing w:val="-3"/>
        </w:rPr>
        <w:t> </w:t>
      </w:r>
      <w:r>
        <w:rPr/>
        <w:t>particle</w:t>
      </w:r>
      <w:r>
        <w:rPr>
          <w:spacing w:val="-3"/>
        </w:rPr>
        <w:t> </w:t>
      </w:r>
      <w:r>
        <w:rPr/>
        <w:t>sizes.</w:t>
      </w:r>
      <w:r>
        <w:rPr>
          <w:spacing w:val="-3"/>
        </w:rPr>
        <w:t> </w:t>
      </w:r>
      <w:r>
        <w:rPr/>
        <w:t>Difficulties</w:t>
      </w:r>
      <w:r>
        <w:rPr>
          <w:spacing w:val="-2"/>
        </w:rPr>
        <w:t> </w:t>
      </w:r>
      <w:r>
        <w:rPr/>
        <w:t>may</w:t>
      </w:r>
      <w:r>
        <w:rPr>
          <w:spacing w:val="-9"/>
        </w:rPr>
        <w:t> </w:t>
      </w:r>
      <w:r>
        <w:rPr/>
        <w:t>arise</w:t>
      </w:r>
      <w:r>
        <w:rPr>
          <w:spacing w:val="-3"/>
        </w:rPr>
        <w:t> </w:t>
      </w:r>
      <w:r>
        <w:rPr/>
        <w:t>both in PCS and LD measurements for samples which contain several populations of different size. Therefore additional techniques may also be used. For example, light microscopy is</w:t>
      </w:r>
      <w:r>
        <w:rPr>
          <w:spacing w:val="-1"/>
        </w:rPr>
        <w:t> </w:t>
      </w:r>
      <w:r>
        <w:rPr/>
        <w:t>recommended, although it is</w:t>
      </w:r>
      <w:r>
        <w:rPr>
          <w:spacing w:val="-1"/>
        </w:rPr>
        <w:t> </w:t>
      </w:r>
      <w:r>
        <w:rPr/>
        <w:t>not sensitive to the</w:t>
      </w:r>
      <w:r>
        <w:rPr>
          <w:spacing w:val="-3"/>
        </w:rPr>
        <w:t> </w:t>
      </w:r>
      <w:r>
        <w:rPr/>
        <w:t>nanometer size range. It gives a fast indication of the presence and character of microparticles (microparticles of unit form or microparticles consisting of aggregates of smaller particles). Electron microscopy provides, in contrast to PCS and LD, direct information on the particle shape. . Zeta potential is an important product characteristic of SLNs since its high value is expected to lead to deaggregation of particles in the</w:t>
      </w:r>
      <w:r>
        <w:rPr>
          <w:spacing w:val="40"/>
        </w:rPr>
        <w:t> </w:t>
      </w:r>
      <w:r>
        <w:rPr/>
        <w:t>absence of other complicating factors such as steric</w:t>
      </w:r>
      <w:r>
        <w:rPr>
          <w:spacing w:val="40"/>
        </w:rPr>
        <w:t> </w:t>
      </w:r>
      <w:r>
        <w:rPr/>
        <w:t>stabilizers or hydrophilic surface appendages. It is usually measured by zetameter.</w:t>
      </w:r>
    </w:p>
    <w:p>
      <w:pPr>
        <w:pStyle w:val="Heading2"/>
        <w:spacing w:before="4"/>
      </w:pPr>
      <w:r>
        <w:rPr/>
        <w:t>DYANAMIC</w:t>
      </w:r>
      <w:r>
        <w:rPr>
          <w:spacing w:val="-13"/>
        </w:rPr>
        <w:t> </w:t>
      </w:r>
      <w:r>
        <w:rPr/>
        <w:t>LIGHT</w:t>
      </w:r>
      <w:r>
        <w:rPr>
          <w:spacing w:val="-12"/>
        </w:rPr>
        <w:t> </w:t>
      </w:r>
      <w:r>
        <w:rPr/>
        <w:t>SCATTERING</w:t>
      </w:r>
      <w:r>
        <w:rPr>
          <w:spacing w:val="-10"/>
        </w:rPr>
        <w:t> </w:t>
      </w:r>
      <w:r>
        <w:rPr>
          <w:spacing w:val="-4"/>
        </w:rPr>
        <w:t>(DLS)</w:t>
      </w:r>
    </w:p>
    <w:p>
      <w:pPr>
        <w:pStyle w:val="BodyText"/>
        <w:ind w:right="38"/>
      </w:pPr>
      <w:r>
        <w:rPr/>
        <w:t>DLS, also known as PCS or quasi-elastic light scattering (QELS)</w:t>
      </w:r>
      <w:r>
        <w:rPr>
          <w:spacing w:val="-3"/>
        </w:rPr>
        <w:t> </w:t>
      </w:r>
      <w:r>
        <w:rPr/>
        <w:t>records</w:t>
      </w:r>
      <w:r>
        <w:rPr>
          <w:spacing w:val="-5"/>
        </w:rPr>
        <w:t> </w:t>
      </w:r>
      <w:r>
        <w:rPr/>
        <w:t>the</w:t>
      </w:r>
      <w:r>
        <w:rPr>
          <w:spacing w:val="-7"/>
        </w:rPr>
        <w:t> </w:t>
      </w:r>
      <w:r>
        <w:rPr/>
        <w:t>variation in the</w:t>
      </w:r>
      <w:r>
        <w:rPr>
          <w:spacing w:val="-7"/>
        </w:rPr>
        <w:t> </w:t>
      </w:r>
      <w:r>
        <w:rPr/>
        <w:t>intensity</w:t>
      </w:r>
      <w:r>
        <w:rPr>
          <w:spacing w:val="-8"/>
        </w:rPr>
        <w:t> </w:t>
      </w:r>
      <w:r>
        <w:rPr/>
        <w:t>of</w:t>
      </w:r>
      <w:r>
        <w:rPr>
          <w:spacing w:val="-3"/>
        </w:rPr>
        <w:t> </w:t>
      </w:r>
      <w:r>
        <w:rPr/>
        <w:t>scattered</w:t>
      </w:r>
      <w:r>
        <w:rPr>
          <w:spacing w:val="-3"/>
        </w:rPr>
        <w:t> </w:t>
      </w:r>
      <w:r>
        <w:rPr/>
        <w:t>light on the microsecond time scale. This variation results from interference of light scattered by individual particles under</w:t>
      </w:r>
      <w:r>
        <w:rPr>
          <w:spacing w:val="40"/>
        </w:rPr>
        <w:t> </w:t>
      </w:r>
      <w:r>
        <w:rPr/>
        <w:t>the influence of Brownian motion, and is quantified by compilation of an autocorrelation function. This function is</w:t>
      </w:r>
      <w:r>
        <w:rPr>
          <w:spacing w:val="40"/>
        </w:rPr>
        <w:t> </w:t>
      </w:r>
      <w:r>
        <w:rPr/>
        <w:t>fit to an exponential, or some combination or modification thereof, with the corresponding decay constant(s) being related to the diffusion coefficient Using standard assumptions of spherical size, low concentration, and known viscosity of the suspending medium, particle size is</w:t>
      </w:r>
      <w:r>
        <w:rPr>
          <w:spacing w:val="40"/>
        </w:rPr>
        <w:t> </w:t>
      </w:r>
      <w:r>
        <w:rPr/>
        <w:t>calculated from this coefficient. The advantages of the</w:t>
      </w:r>
      <w:r>
        <w:rPr>
          <w:spacing w:val="40"/>
        </w:rPr>
        <w:t> </w:t>
      </w:r>
      <w:r>
        <w:rPr/>
        <w:t>method are</w:t>
      </w:r>
      <w:r>
        <w:rPr>
          <w:spacing w:val="-3"/>
        </w:rPr>
        <w:t> </w:t>
      </w:r>
      <w:r>
        <w:rPr/>
        <w:t>the</w:t>
      </w:r>
      <w:r>
        <w:rPr>
          <w:spacing w:val="-3"/>
        </w:rPr>
        <w:t> </w:t>
      </w:r>
      <w:r>
        <w:rPr/>
        <w:t>speed of</w:t>
      </w:r>
      <w:r>
        <w:rPr>
          <w:spacing w:val="-4"/>
        </w:rPr>
        <w:t> </w:t>
      </w:r>
      <w:r>
        <w:rPr/>
        <w:t>analysis, lack of required calibration, and sensitivity to submicrometer particles.</w:t>
      </w:r>
    </w:p>
    <w:p>
      <w:pPr>
        <w:pStyle w:val="Heading2"/>
        <w:spacing w:line="240" w:lineRule="auto" w:before="3"/>
      </w:pPr>
      <w:r>
        <w:rPr/>
        <w:t>STATIC</w:t>
      </w:r>
      <w:r>
        <w:rPr>
          <w:spacing w:val="-13"/>
        </w:rPr>
        <w:t> </w:t>
      </w:r>
      <w:r>
        <w:rPr/>
        <w:t>LIGHT</w:t>
      </w:r>
      <w:r>
        <w:rPr>
          <w:spacing w:val="-12"/>
        </w:rPr>
        <w:t> </w:t>
      </w:r>
      <w:r>
        <w:rPr/>
        <w:t>SCATTERING/FRAUNHOFER </w:t>
      </w:r>
      <w:r>
        <w:rPr>
          <w:spacing w:val="-2"/>
        </w:rPr>
        <w:t>DIFFRACTION</w:t>
      </w:r>
    </w:p>
    <w:p>
      <w:pPr>
        <w:pStyle w:val="BodyText"/>
        <w:ind w:right="39"/>
      </w:pPr>
      <w:r>
        <w:rPr/>
        <w:t>Static light scattering (SLS) is an ensemble method in which the pattern of light scattered from a solution of particles is collected and fit to fundamental electromagnetic equations in which size is the primary variable. The method is fast and rugged, but requires more cleanliness than DLS, and</w:t>
      </w:r>
      <w:r>
        <w:rPr>
          <w:spacing w:val="-2"/>
        </w:rPr>
        <w:t> </w:t>
      </w:r>
      <w:r>
        <w:rPr/>
        <w:t>advance knowledge of the particles' optical qualities.</w:t>
      </w:r>
    </w:p>
    <w:p>
      <w:pPr>
        <w:pStyle w:val="Heading2"/>
      </w:pPr>
      <w:r>
        <w:rPr/>
        <w:t>ELECTRON</w:t>
      </w:r>
      <w:r>
        <w:rPr>
          <w:spacing w:val="-11"/>
        </w:rPr>
        <w:t> </w:t>
      </w:r>
      <w:r>
        <w:rPr>
          <w:spacing w:val="-2"/>
        </w:rPr>
        <w:t>MICROSCOPY</w:t>
      </w:r>
    </w:p>
    <w:p>
      <w:pPr>
        <w:pStyle w:val="BodyText"/>
        <w:ind w:right="39"/>
      </w:pPr>
      <w:r>
        <w:rPr/>
        <w:t>SEM and TEM provide a way to directly observe nanoparticles, physical characterization of nanoparticles with the former method being better for morphological examination. TEM has a smaller size limit of detection, is a good validation for other methods, and affords structural required, and one must be cognizant of the statistically small sample size and the effect that vacuum can have on the </w:t>
      </w:r>
      <w:r>
        <w:rPr>
          <w:spacing w:val="-2"/>
        </w:rPr>
        <w:t>particles.</w:t>
      </w:r>
    </w:p>
    <w:p>
      <w:pPr>
        <w:pStyle w:val="Heading2"/>
        <w:spacing w:line="225" w:lineRule="exact" w:before="5"/>
      </w:pPr>
      <w:r>
        <w:rPr/>
        <w:t>ATOMIC</w:t>
      </w:r>
      <w:r>
        <w:rPr>
          <w:spacing w:val="-13"/>
        </w:rPr>
        <w:t> </w:t>
      </w:r>
      <w:r>
        <w:rPr/>
        <w:t>FORCE</w:t>
      </w:r>
      <w:r>
        <w:rPr>
          <w:spacing w:val="-11"/>
        </w:rPr>
        <w:t> </w:t>
      </w:r>
      <w:r>
        <w:rPr/>
        <w:t>MICROSCOPY</w:t>
      </w:r>
      <w:r>
        <w:rPr>
          <w:spacing w:val="-8"/>
        </w:rPr>
        <w:t> </w:t>
      </w:r>
      <w:r>
        <w:rPr>
          <w:spacing w:val="-4"/>
        </w:rPr>
        <w:t>(AFM)</w:t>
      </w:r>
    </w:p>
    <w:p>
      <w:pPr>
        <w:pStyle w:val="BodyText"/>
        <w:ind w:right="39"/>
      </w:pPr>
      <w:r>
        <w:rPr/>
        <w:t>In this technique, a probe tip with atomic scale sharpness is rastered across a sample to produce a topological map based on the forces at play between the tip and the surface. The probe can be dragged across the sample (contact mode), or allowed to hover just above (noncontact mode), with the</w:t>
      </w:r>
      <w:r>
        <w:rPr>
          <w:spacing w:val="40"/>
        </w:rPr>
        <w:t> </w:t>
      </w:r>
      <w:r>
        <w:rPr/>
        <w:t>exact nature of the particular force employed serving to distinguish among the subtechniques. That ultrahigh resolution is obtainable with this approach, which along with the</w:t>
      </w:r>
      <w:r>
        <w:rPr>
          <w:spacing w:val="71"/>
        </w:rPr>
        <w:t> </w:t>
      </w:r>
      <w:r>
        <w:rPr/>
        <w:t>ability</w:t>
      </w:r>
      <w:r>
        <w:rPr>
          <w:spacing w:val="67"/>
        </w:rPr>
        <w:t> </w:t>
      </w:r>
      <w:r>
        <w:rPr/>
        <w:t>to</w:t>
      </w:r>
      <w:r>
        <w:rPr>
          <w:spacing w:val="71"/>
        </w:rPr>
        <w:t> </w:t>
      </w:r>
      <w:r>
        <w:rPr/>
        <w:t>map</w:t>
      </w:r>
      <w:r>
        <w:rPr>
          <w:spacing w:val="71"/>
        </w:rPr>
        <w:t> </w:t>
      </w:r>
      <w:r>
        <w:rPr/>
        <w:t>a</w:t>
      </w:r>
      <w:r>
        <w:rPr>
          <w:spacing w:val="78"/>
        </w:rPr>
        <w:t> </w:t>
      </w:r>
      <w:r>
        <w:rPr/>
        <w:t>sample</w:t>
      </w:r>
      <w:r>
        <w:rPr>
          <w:spacing w:val="68"/>
        </w:rPr>
        <w:t> </w:t>
      </w:r>
      <w:r>
        <w:rPr/>
        <w:t>according</w:t>
      </w:r>
      <w:r>
        <w:rPr>
          <w:spacing w:val="71"/>
        </w:rPr>
        <w:t> </w:t>
      </w:r>
      <w:r>
        <w:rPr/>
        <w:t>to</w:t>
      </w:r>
      <w:r>
        <w:rPr>
          <w:spacing w:val="71"/>
        </w:rPr>
        <w:t> </w:t>
      </w:r>
      <w:r>
        <w:rPr/>
        <w:t>properties</w:t>
      </w:r>
      <w:r>
        <w:rPr>
          <w:spacing w:val="75"/>
        </w:rPr>
        <w:t> </w:t>
      </w:r>
      <w:r>
        <w:rPr>
          <w:spacing w:val="-5"/>
        </w:rPr>
        <w:t>in</w:t>
      </w:r>
    </w:p>
    <w:p>
      <w:pPr>
        <w:pStyle w:val="BodyText"/>
        <w:spacing w:before="93"/>
        <w:ind w:right="135"/>
      </w:pPr>
      <w:r>
        <w:rPr/>
        <w:br w:type="column"/>
      </w:r>
      <w:r>
        <w:rPr/>
        <w:t>addition to size, e.g., colloidal attraction or resistance to deformation, makes AFM a valuable tool.</w:t>
      </w:r>
    </w:p>
    <w:p>
      <w:pPr>
        <w:pStyle w:val="Heading2"/>
        <w:spacing w:before="6"/>
      </w:pPr>
      <w:r>
        <w:rPr/>
        <w:t>ACOUSTIC</w:t>
      </w:r>
      <w:r>
        <w:rPr>
          <w:spacing w:val="-9"/>
        </w:rPr>
        <w:t> </w:t>
      </w:r>
      <w:r>
        <w:rPr>
          <w:spacing w:val="-2"/>
        </w:rPr>
        <w:t>METHODS</w:t>
      </w:r>
    </w:p>
    <w:p>
      <w:pPr>
        <w:pStyle w:val="BodyText"/>
        <w:ind w:right="132"/>
      </w:pPr>
      <w:r>
        <w:rPr/>
        <w:t>Another ensemble</w:t>
      </w:r>
      <w:r>
        <w:rPr>
          <w:spacing w:val="-7"/>
        </w:rPr>
        <w:t> </w:t>
      </w:r>
      <w:r>
        <w:rPr/>
        <w:t>approach,</w:t>
      </w:r>
      <w:r>
        <w:rPr>
          <w:spacing w:val="-1"/>
        </w:rPr>
        <w:t> </w:t>
      </w:r>
      <w:r>
        <w:rPr/>
        <w:t>acoustic</w:t>
      </w:r>
      <w:r>
        <w:rPr>
          <w:spacing w:val="-7"/>
        </w:rPr>
        <w:t> </w:t>
      </w:r>
      <w:r>
        <w:rPr/>
        <w:t>spectroscopy,</w:t>
      </w:r>
      <w:r>
        <w:rPr>
          <w:spacing w:val="-1"/>
        </w:rPr>
        <w:t> </w:t>
      </w:r>
      <w:r>
        <w:rPr/>
        <w:t>measures the attenuation of sound waves as a means of determining</w:t>
      </w:r>
      <w:r>
        <w:rPr>
          <w:spacing w:val="40"/>
        </w:rPr>
        <w:t> </w:t>
      </w:r>
      <w:r>
        <w:rPr/>
        <w:t>size through the fitting of physically relevant equations. In addition, the oscillating electric field generated by the movement of charged particles under the influence of</w:t>
      </w:r>
      <w:r>
        <w:rPr>
          <w:spacing w:val="40"/>
        </w:rPr>
        <w:t> </w:t>
      </w:r>
      <w:r>
        <w:rPr/>
        <w:t>acoustic energy can be detected to provide information on surface charge.</w:t>
      </w:r>
    </w:p>
    <w:p>
      <w:pPr>
        <w:pStyle w:val="Heading2"/>
        <w:spacing w:line="240" w:lineRule="auto"/>
        <w:ind w:right="306"/>
      </w:pPr>
      <w:r>
        <w:rPr/>
        <w:t>IN-VITRO AND EX-VIVO METHODS FOR THE ASSESSMENT</w:t>
      </w:r>
      <w:r>
        <w:rPr>
          <w:spacing w:val="-10"/>
        </w:rPr>
        <w:t> </w:t>
      </w:r>
      <w:r>
        <w:rPr/>
        <w:t>OF</w:t>
      </w:r>
      <w:r>
        <w:rPr>
          <w:spacing w:val="-8"/>
        </w:rPr>
        <w:t> </w:t>
      </w:r>
      <w:r>
        <w:rPr/>
        <w:t>DRUG</w:t>
      </w:r>
      <w:r>
        <w:rPr>
          <w:spacing w:val="-8"/>
        </w:rPr>
        <w:t> </w:t>
      </w:r>
      <w:r>
        <w:rPr/>
        <w:t>RELEASE</w:t>
      </w:r>
      <w:r>
        <w:rPr>
          <w:spacing w:val="-10"/>
        </w:rPr>
        <w:t> </w:t>
      </w:r>
      <w:r>
        <w:rPr/>
        <w:t>FROM</w:t>
      </w:r>
      <w:r>
        <w:rPr>
          <w:spacing w:val="-4"/>
        </w:rPr>
        <w:t> </w:t>
      </w:r>
      <w:r>
        <w:rPr/>
        <w:t>SLNS</w:t>
      </w:r>
      <w:r>
        <w:rPr>
          <w:vertAlign w:val="superscript"/>
        </w:rPr>
        <w:t>45-48</w:t>
      </w:r>
      <w:r>
        <w:rPr>
          <w:vertAlign w:val="baseline"/>
        </w:rPr>
        <w:t> IN-VITRO DRUG RELEASE</w:t>
      </w:r>
    </w:p>
    <w:p>
      <w:pPr>
        <w:spacing w:line="228" w:lineRule="exact" w:before="2"/>
        <w:ind w:left="141" w:right="0" w:firstLine="0"/>
        <w:jc w:val="left"/>
        <w:rPr>
          <w:b/>
          <w:sz w:val="20"/>
        </w:rPr>
      </w:pPr>
      <w:r>
        <w:rPr>
          <w:b/>
          <w:sz w:val="20"/>
        </w:rPr>
        <w:t>DIALYSIS</w:t>
      </w:r>
      <w:r>
        <w:rPr>
          <w:b/>
          <w:spacing w:val="-7"/>
          <w:sz w:val="20"/>
        </w:rPr>
        <w:t> </w:t>
      </w:r>
      <w:r>
        <w:rPr>
          <w:b/>
          <w:spacing w:val="-2"/>
          <w:sz w:val="20"/>
        </w:rPr>
        <w:t>TUBING</w:t>
      </w:r>
    </w:p>
    <w:p>
      <w:pPr>
        <w:pStyle w:val="BodyText"/>
        <w:ind w:right="132"/>
      </w:pPr>
      <w:r>
        <w:rPr/>
        <w:t>In-vitro drug release could be achieved using dialysis tubing. The solid liquid nanoparticle dispersion is placed in a prewashed dialysis tubing which can be hermetically sealed. The</w:t>
      </w:r>
      <w:r>
        <w:rPr>
          <w:spacing w:val="-5"/>
        </w:rPr>
        <w:t> </w:t>
      </w:r>
      <w:r>
        <w:rPr/>
        <w:t>dialysis</w:t>
      </w:r>
      <w:r>
        <w:rPr>
          <w:spacing w:val="-3"/>
        </w:rPr>
        <w:t> </w:t>
      </w:r>
      <w:r>
        <w:rPr/>
        <w:t>sac</w:t>
      </w:r>
      <w:r>
        <w:rPr>
          <w:spacing w:val="-5"/>
        </w:rPr>
        <w:t> </w:t>
      </w:r>
      <w:r>
        <w:rPr/>
        <w:t>is</w:t>
      </w:r>
      <w:r>
        <w:rPr>
          <w:spacing w:val="-3"/>
        </w:rPr>
        <w:t> </w:t>
      </w:r>
      <w:r>
        <w:rPr/>
        <w:t>then dialyzed</w:t>
      </w:r>
      <w:r>
        <w:rPr>
          <w:spacing w:val="-2"/>
        </w:rPr>
        <w:t> </w:t>
      </w:r>
      <w:r>
        <w:rPr/>
        <w:t>against a suitable</w:t>
      </w:r>
      <w:r>
        <w:rPr>
          <w:spacing w:val="-5"/>
        </w:rPr>
        <w:t> </w:t>
      </w:r>
      <w:r>
        <w:rPr/>
        <w:t>dissolution medium at room temperature, the samples are withdrawn</w:t>
      </w:r>
      <w:r>
        <w:rPr>
          <w:spacing w:val="40"/>
        </w:rPr>
        <w:t> </w:t>
      </w:r>
      <w:r>
        <w:rPr/>
        <w:t>from</w:t>
      </w:r>
      <w:r>
        <w:rPr>
          <w:spacing w:val="-1"/>
        </w:rPr>
        <w:t> </w:t>
      </w:r>
      <w:r>
        <w:rPr/>
        <w:t>the</w:t>
      </w:r>
      <w:r>
        <w:rPr>
          <w:spacing w:val="-5"/>
        </w:rPr>
        <w:t> </w:t>
      </w:r>
      <w:r>
        <w:rPr/>
        <w:t>dissolution medium</w:t>
      </w:r>
      <w:r>
        <w:rPr>
          <w:spacing w:val="-1"/>
        </w:rPr>
        <w:t> </w:t>
      </w:r>
      <w:r>
        <w:rPr/>
        <w:t>at</w:t>
      </w:r>
      <w:r>
        <w:rPr>
          <w:spacing w:val="-1"/>
        </w:rPr>
        <w:t> </w:t>
      </w:r>
      <w:r>
        <w:rPr/>
        <w:t>suitable</w:t>
      </w:r>
      <w:r>
        <w:rPr>
          <w:spacing w:val="-5"/>
        </w:rPr>
        <w:t> </w:t>
      </w:r>
      <w:r>
        <w:rPr/>
        <w:t>intervals, centrifuged and analysed for drug content using a suitable analytical method</w:t>
      </w:r>
      <w:r>
        <w:rPr>
          <w:spacing w:val="-3"/>
        </w:rPr>
        <w:t> </w:t>
      </w:r>
      <w:r>
        <w:rPr/>
        <w:t>(U.V. Spectroscopy, HPLC etc.). The</w:t>
      </w:r>
      <w:r>
        <w:rPr>
          <w:spacing w:val="-6"/>
        </w:rPr>
        <w:t> </w:t>
      </w:r>
      <w:r>
        <w:rPr/>
        <w:t>maintenance</w:t>
      </w:r>
      <w:r>
        <w:rPr>
          <w:spacing w:val="-6"/>
        </w:rPr>
        <w:t> </w:t>
      </w:r>
      <w:r>
        <w:rPr/>
        <w:t>of sink</w:t>
      </w:r>
      <w:r>
        <w:rPr>
          <w:spacing w:val="-2"/>
        </w:rPr>
        <w:t> </w:t>
      </w:r>
      <w:r>
        <w:rPr/>
        <w:t>condition</w:t>
      </w:r>
      <w:r>
        <w:rPr>
          <w:spacing w:val="-2"/>
        </w:rPr>
        <w:t> </w:t>
      </w:r>
      <w:r>
        <w:rPr/>
        <w:t>is</w:t>
      </w:r>
      <w:r>
        <w:rPr>
          <w:spacing w:val="-3"/>
        </w:rPr>
        <w:t> </w:t>
      </w:r>
      <w:r>
        <w:rPr/>
        <w:t>essential. This</w:t>
      </w:r>
      <w:r>
        <w:rPr>
          <w:spacing w:val="-3"/>
        </w:rPr>
        <w:t> </w:t>
      </w:r>
      <w:r>
        <w:rPr/>
        <w:t>method</w:t>
      </w:r>
      <w:r>
        <w:rPr>
          <w:spacing w:val="-6"/>
        </w:rPr>
        <w:t> </w:t>
      </w:r>
      <w:r>
        <w:rPr/>
        <w:t>however suffers</w:t>
      </w:r>
      <w:r>
        <w:rPr>
          <w:spacing w:val="-3"/>
        </w:rPr>
        <w:t> </w:t>
      </w:r>
      <w:r>
        <w:rPr/>
        <w:t>from the limitation of a lack of direct dilution of the SLNs by the dissolution medium.</w:t>
      </w:r>
    </w:p>
    <w:p>
      <w:pPr>
        <w:pStyle w:val="Heading2"/>
        <w:spacing w:before="2"/>
      </w:pPr>
      <w:r>
        <w:rPr/>
        <w:t>REVERSE</w:t>
      </w:r>
      <w:r>
        <w:rPr>
          <w:spacing w:val="-8"/>
        </w:rPr>
        <w:t> </w:t>
      </w:r>
      <w:r>
        <w:rPr>
          <w:spacing w:val="-2"/>
        </w:rPr>
        <w:t>DIALYSIS:</w:t>
      </w:r>
    </w:p>
    <w:p>
      <w:pPr>
        <w:pStyle w:val="BodyText"/>
        <w:ind w:right="132"/>
      </w:pPr>
      <w:r>
        <w:rPr/>
        <w:t>In this</w:t>
      </w:r>
      <w:r>
        <w:rPr>
          <w:spacing w:val="-1"/>
        </w:rPr>
        <w:t> </w:t>
      </w:r>
      <w:r>
        <w:rPr/>
        <w:t>technique</w:t>
      </w:r>
      <w:r>
        <w:rPr>
          <w:spacing w:val="-3"/>
        </w:rPr>
        <w:t> </w:t>
      </w:r>
      <w:r>
        <w:rPr/>
        <w:t>a</w:t>
      </w:r>
      <w:r>
        <w:rPr>
          <w:spacing w:val="-3"/>
        </w:rPr>
        <w:t> </w:t>
      </w:r>
      <w:r>
        <w:rPr/>
        <w:t>number of small dialysis</w:t>
      </w:r>
      <w:r>
        <w:rPr>
          <w:spacing w:val="-1"/>
        </w:rPr>
        <w:t> </w:t>
      </w:r>
      <w:r>
        <w:rPr/>
        <w:t>sacs containing</w:t>
      </w:r>
      <w:r>
        <w:rPr>
          <w:spacing w:val="-4"/>
        </w:rPr>
        <w:t> </w:t>
      </w:r>
      <w:r>
        <w:rPr/>
        <w:t>1 ml of dissolution medium are placed in SLN dispersion. The SLNs are then displaced into the dissolution medium. The direct dilution of</w:t>
      </w:r>
      <w:r>
        <w:rPr>
          <w:spacing w:val="-5"/>
        </w:rPr>
        <w:t> </w:t>
      </w:r>
      <w:r>
        <w:rPr/>
        <w:t>SLNs</w:t>
      </w:r>
      <w:r>
        <w:rPr>
          <w:spacing w:val="-2"/>
        </w:rPr>
        <w:t> </w:t>
      </w:r>
      <w:r>
        <w:rPr/>
        <w:t>is</w:t>
      </w:r>
      <w:r>
        <w:rPr>
          <w:spacing w:val="-2"/>
        </w:rPr>
        <w:t> </w:t>
      </w:r>
      <w:r>
        <w:rPr/>
        <w:t>possible with this</w:t>
      </w:r>
      <w:r>
        <w:rPr>
          <w:spacing w:val="-7"/>
        </w:rPr>
        <w:t> </w:t>
      </w:r>
      <w:r>
        <w:rPr/>
        <w:t>method; however the rapid release cannot be quantified using this method.</w:t>
      </w:r>
    </w:p>
    <w:p>
      <w:pPr>
        <w:pStyle w:val="Heading2"/>
      </w:pPr>
      <w:r>
        <w:rPr/>
        <w:t>FRANZ</w:t>
      </w:r>
      <w:r>
        <w:rPr>
          <w:spacing w:val="-10"/>
        </w:rPr>
        <w:t> </w:t>
      </w:r>
      <w:r>
        <w:rPr/>
        <w:t>DIFFUSION</w:t>
      </w:r>
      <w:r>
        <w:rPr>
          <w:spacing w:val="-9"/>
        </w:rPr>
        <w:t> </w:t>
      </w:r>
      <w:r>
        <w:rPr>
          <w:spacing w:val="-2"/>
        </w:rPr>
        <w:t>CELL:</w:t>
      </w:r>
    </w:p>
    <w:p>
      <w:pPr>
        <w:pStyle w:val="BodyText"/>
        <w:ind w:right="132"/>
      </w:pPr>
      <w:r>
        <w:rPr/>
        <w:t>The</w:t>
      </w:r>
      <w:r>
        <w:rPr>
          <w:spacing w:val="-5"/>
        </w:rPr>
        <w:t> </w:t>
      </w:r>
      <w:r>
        <w:rPr/>
        <w:t>solid</w:t>
      </w:r>
      <w:r>
        <w:rPr>
          <w:spacing w:val="-2"/>
        </w:rPr>
        <w:t> </w:t>
      </w:r>
      <w:r>
        <w:rPr/>
        <w:t>liquid</w:t>
      </w:r>
      <w:r>
        <w:rPr>
          <w:spacing w:val="-5"/>
        </w:rPr>
        <w:t> </w:t>
      </w:r>
      <w:r>
        <w:rPr/>
        <w:t>nanoparticle</w:t>
      </w:r>
      <w:r>
        <w:rPr>
          <w:spacing w:val="-5"/>
        </w:rPr>
        <w:t> </w:t>
      </w:r>
      <w:r>
        <w:rPr/>
        <w:t>dispersion</w:t>
      </w:r>
      <w:r>
        <w:rPr>
          <w:spacing w:val="-2"/>
        </w:rPr>
        <w:t> </w:t>
      </w:r>
      <w:r>
        <w:rPr/>
        <w:t>is</w:t>
      </w:r>
      <w:r>
        <w:rPr>
          <w:spacing w:val="-3"/>
        </w:rPr>
        <w:t> </w:t>
      </w:r>
      <w:r>
        <w:rPr/>
        <w:t>placed</w:t>
      </w:r>
      <w:r>
        <w:rPr>
          <w:spacing w:val="-2"/>
        </w:rPr>
        <w:t> </w:t>
      </w:r>
      <w:r>
        <w:rPr/>
        <w:t>in</w:t>
      </w:r>
      <w:r>
        <w:rPr>
          <w:spacing w:val="-2"/>
        </w:rPr>
        <w:t> </w:t>
      </w:r>
      <w:r>
        <w:rPr/>
        <w:t>the</w:t>
      </w:r>
      <w:r>
        <w:rPr>
          <w:spacing w:val="-5"/>
        </w:rPr>
        <w:t> </w:t>
      </w:r>
      <w:r>
        <w:rPr/>
        <w:t>donor chamber of a Franz diffusion cell fitted with a cellophane membrane. The dispersion is then dialyzed against a suitable dissolution medium (simulated gastric medium/simulated intestinal medium/simulated plasma) at room temperature,</w:t>
      </w:r>
      <w:r>
        <w:rPr>
          <w:spacing w:val="40"/>
        </w:rPr>
        <w:t> </w:t>
      </w:r>
      <w:r>
        <w:rPr/>
        <w:t>the samples are withdrawn from the dissolution medium at suitable</w:t>
      </w:r>
      <w:r>
        <w:rPr>
          <w:spacing w:val="-4"/>
        </w:rPr>
        <w:t> </w:t>
      </w:r>
      <w:r>
        <w:rPr/>
        <w:t>intervals</w:t>
      </w:r>
      <w:r>
        <w:rPr>
          <w:spacing w:val="-7"/>
        </w:rPr>
        <w:t> </w:t>
      </w:r>
      <w:r>
        <w:rPr/>
        <w:t>and</w:t>
      </w:r>
      <w:r>
        <w:rPr>
          <w:spacing w:val="-5"/>
        </w:rPr>
        <w:t> </w:t>
      </w:r>
      <w:r>
        <w:rPr/>
        <w:t>analysed</w:t>
      </w:r>
      <w:r>
        <w:rPr>
          <w:spacing w:val="-1"/>
        </w:rPr>
        <w:t> </w:t>
      </w:r>
      <w:r>
        <w:rPr/>
        <w:t>for drug</w:t>
      </w:r>
      <w:r>
        <w:rPr>
          <w:spacing w:val="-1"/>
        </w:rPr>
        <w:t> </w:t>
      </w:r>
      <w:r>
        <w:rPr/>
        <w:t>content</w:t>
      </w:r>
      <w:r>
        <w:rPr>
          <w:spacing w:val="-4"/>
        </w:rPr>
        <w:t> </w:t>
      </w:r>
      <w:r>
        <w:rPr/>
        <w:t>using</w:t>
      </w:r>
      <w:r>
        <w:rPr>
          <w:spacing w:val="-1"/>
        </w:rPr>
        <w:t> </w:t>
      </w:r>
      <w:r>
        <w:rPr/>
        <w:t>suitable instrumental method . The maintenance of sink condition is essential and</w:t>
      </w:r>
      <w:r>
        <w:rPr>
          <w:spacing w:val="-2"/>
        </w:rPr>
        <w:t> </w:t>
      </w:r>
      <w:r>
        <w:rPr/>
        <w:t>the</w:t>
      </w:r>
      <w:r>
        <w:rPr>
          <w:spacing w:val="-9"/>
        </w:rPr>
        <w:t> </w:t>
      </w:r>
      <w:r>
        <w:rPr/>
        <w:t>method</w:t>
      </w:r>
      <w:r>
        <w:rPr>
          <w:spacing w:val="-2"/>
        </w:rPr>
        <w:t> </w:t>
      </w:r>
      <w:r>
        <w:rPr/>
        <w:t>suffers</w:t>
      </w:r>
      <w:r>
        <w:rPr>
          <w:spacing w:val="-3"/>
        </w:rPr>
        <w:t> </w:t>
      </w:r>
      <w:r>
        <w:rPr/>
        <w:t>from the</w:t>
      </w:r>
      <w:r>
        <w:rPr>
          <w:spacing w:val="-4"/>
        </w:rPr>
        <w:t> </w:t>
      </w:r>
      <w:r>
        <w:rPr/>
        <w:t>limitation of</w:t>
      </w:r>
      <w:r>
        <w:rPr>
          <w:spacing w:val="-5"/>
        </w:rPr>
        <w:t> </w:t>
      </w:r>
      <w:r>
        <w:rPr/>
        <w:t>lack</w:t>
      </w:r>
      <w:r>
        <w:rPr>
          <w:spacing w:val="-2"/>
        </w:rPr>
        <w:t> </w:t>
      </w:r>
      <w:r>
        <w:rPr/>
        <w:t>of direct dilution of SLNs by the dissolution medium.</w:t>
      </w:r>
    </w:p>
    <w:p>
      <w:pPr>
        <w:pStyle w:val="Heading2"/>
        <w:spacing w:line="240" w:lineRule="auto" w:before="2"/>
        <w:ind w:right="306"/>
      </w:pPr>
      <w:r>
        <w:rPr/>
        <w:t>EX-VIVO</w:t>
      </w:r>
      <w:r>
        <w:rPr>
          <w:spacing w:val="-11"/>
        </w:rPr>
        <w:t> </w:t>
      </w:r>
      <w:r>
        <w:rPr/>
        <w:t>MODEL</w:t>
      </w:r>
      <w:r>
        <w:rPr>
          <w:spacing w:val="-13"/>
        </w:rPr>
        <w:t> </w:t>
      </w:r>
      <w:r>
        <w:rPr/>
        <w:t>OR</w:t>
      </w:r>
      <w:r>
        <w:rPr>
          <w:spacing w:val="-9"/>
        </w:rPr>
        <w:t> </w:t>
      </w:r>
      <w:r>
        <w:rPr/>
        <w:t>DETERMINING PERMEABILITY ACROSS THE GUT</w:t>
      </w:r>
    </w:p>
    <w:p>
      <w:pPr>
        <w:pStyle w:val="BodyText"/>
        <w:ind w:right="132"/>
      </w:pPr>
      <w:r>
        <w:rPr/>
        <w:t>Ahlin et. al demonstrated passage of Enalaprit SLNs across rat jejunum. In short, the rat jejunum was excised from the rats</w:t>
      </w:r>
      <w:r>
        <w:rPr>
          <w:spacing w:val="-3"/>
        </w:rPr>
        <w:t> </w:t>
      </w:r>
      <w:r>
        <w:rPr/>
        <w:t>after sacrificing</w:t>
      </w:r>
      <w:r>
        <w:rPr>
          <w:spacing w:val="-2"/>
        </w:rPr>
        <w:t> </w:t>
      </w:r>
      <w:r>
        <w:rPr/>
        <w:t>the animal. The jejunum 20-30 cm distal from the pyloric sphincter was used. The jejunum was rinsed to remove the luminal contents after washing with ice cold standard ringer solution. The tissue was then cut into segments, opened up along the mesenteric border and placed between two Easy Mount side-y-side diffusion chambers</w:t>
      </w:r>
      <w:r>
        <w:rPr>
          <w:spacing w:val="80"/>
        </w:rPr>
        <w:t> </w:t>
      </w:r>
      <w:r>
        <w:rPr/>
        <w:t>with an exposed tissue are of 1 cm2. The mucosal side was bathed</w:t>
      </w:r>
      <w:r>
        <w:rPr>
          <w:spacing w:val="-4"/>
        </w:rPr>
        <w:t> </w:t>
      </w:r>
      <w:r>
        <w:rPr/>
        <w:t>with Ringer buffer containing</w:t>
      </w:r>
      <w:r>
        <w:rPr>
          <w:spacing w:val="-8"/>
        </w:rPr>
        <w:t> </w:t>
      </w:r>
      <w:r>
        <w:rPr/>
        <w:t>10mM</w:t>
      </w:r>
      <w:r>
        <w:rPr>
          <w:spacing w:val="-5"/>
        </w:rPr>
        <w:t> </w:t>
      </w:r>
      <w:r>
        <w:rPr/>
        <w:t>mannitol</w:t>
      </w:r>
      <w:r>
        <w:rPr>
          <w:spacing w:val="-2"/>
        </w:rPr>
        <w:t> </w:t>
      </w:r>
      <w:r>
        <w:rPr/>
        <w:t>and</w:t>
      </w:r>
      <w:r>
        <w:rPr>
          <w:spacing w:val="-4"/>
        </w:rPr>
        <w:t> </w:t>
      </w:r>
      <w:r>
        <w:rPr/>
        <w:t>the serosal side Ringer buffer containing 10mM glucose. The enalprilat loaded nanoparticles were placed on the mucosal side, dispersed in Ringer containing paracellular transporter sodium fluorescein confirming for tissue integrity.</w:t>
      </w:r>
    </w:p>
    <w:p>
      <w:pPr>
        <w:pStyle w:val="Heading2"/>
        <w:spacing w:line="240" w:lineRule="auto" w:before="2"/>
      </w:pPr>
      <w:r>
        <w:rPr/>
        <w:t>ANIMALS</w:t>
      </w:r>
      <w:r>
        <w:rPr>
          <w:spacing w:val="-7"/>
        </w:rPr>
        <w:t> </w:t>
      </w:r>
      <w:r>
        <w:rPr/>
        <w:t>AND</w:t>
      </w:r>
      <w:r>
        <w:rPr>
          <w:spacing w:val="-7"/>
        </w:rPr>
        <w:t> </w:t>
      </w:r>
      <w:r>
        <w:rPr/>
        <w:t>ADMINISTRATION</w:t>
      </w:r>
      <w:r>
        <w:rPr>
          <w:spacing w:val="-12"/>
        </w:rPr>
        <w:t> </w:t>
      </w:r>
      <w:r>
        <w:rPr/>
        <w:t>OF</w:t>
      </w:r>
      <w:r>
        <w:rPr>
          <w:spacing w:val="-9"/>
        </w:rPr>
        <w:t> </w:t>
      </w:r>
      <w:r>
        <w:rPr/>
        <w:t>DRUG </w:t>
      </w:r>
      <w:r>
        <w:rPr>
          <w:spacing w:val="-2"/>
        </w:rPr>
        <w:t>FORMULATION</w:t>
      </w:r>
    </w:p>
    <w:p>
      <w:pPr>
        <w:pStyle w:val="BodyText"/>
        <w:ind w:right="135"/>
      </w:pPr>
      <w:r>
        <w:rPr/>
        <w:t>Male Wistar rats and Swiss Albino mice are used for pharmacokinetic and tissue distribution studies, respectively.</w:t>
      </w:r>
    </w:p>
    <w:p>
      <w:pPr>
        <w:pStyle w:val="BodyText"/>
        <w:spacing w:after="0"/>
        <w:sectPr>
          <w:pgSz w:w="11900" w:h="16820"/>
          <w:pgMar w:header="609" w:footer="849" w:top="1080" w:bottom="1040" w:left="708" w:right="708"/>
          <w:cols w:num="2" w:equalWidth="0">
            <w:col w:w="5145" w:space="101"/>
            <w:col w:w="5238"/>
          </w:cols>
        </w:sectPr>
      </w:pPr>
    </w:p>
    <w:p>
      <w:pPr>
        <w:pStyle w:val="Heading2"/>
        <w:spacing w:before="98"/>
      </w:pPr>
      <w:r>
        <w:rPr>
          <w:spacing w:val="-2"/>
        </w:rPr>
        <w:t>INTRAVENOUS</w:t>
      </w:r>
      <w:r>
        <w:rPr>
          <w:spacing w:val="8"/>
        </w:rPr>
        <w:t> </w:t>
      </w:r>
      <w:r>
        <w:rPr>
          <w:spacing w:val="-2"/>
        </w:rPr>
        <w:t>ADMINISTRATION</w:t>
      </w:r>
    </w:p>
    <w:p>
      <w:pPr>
        <w:pStyle w:val="BodyText"/>
        <w:ind w:right="39"/>
      </w:pPr>
      <w:r>
        <w:rPr/>
        <w:t>Rats are anesthetized and the selected samples are given. Time taken for administration is 30 sec. blood samples are withdrawn by retro-orbital venous plexus puncture at 15, 30, 45, 60, 90, 120, 240</w:t>
      </w:r>
      <w:r>
        <w:rPr>
          <w:spacing w:val="-1"/>
        </w:rPr>
        <w:t> </w:t>
      </w:r>
      <w:r>
        <w:rPr/>
        <w:t>and</w:t>
      </w:r>
      <w:r>
        <w:rPr>
          <w:spacing w:val="-1"/>
        </w:rPr>
        <w:t> </w:t>
      </w:r>
      <w:r>
        <w:rPr/>
        <w:t>480</w:t>
      </w:r>
      <w:r>
        <w:rPr>
          <w:spacing w:val="-1"/>
        </w:rPr>
        <w:t> </w:t>
      </w:r>
      <w:r>
        <w:rPr/>
        <w:t>min post i.v. dose.</w:t>
      </w:r>
      <w:r>
        <w:rPr>
          <w:spacing w:val="40"/>
        </w:rPr>
        <w:t> </w:t>
      </w:r>
      <w:r>
        <w:rPr/>
        <w:t>The</w:t>
      </w:r>
      <w:r>
        <w:rPr>
          <w:spacing w:val="-4"/>
        </w:rPr>
        <w:t> </w:t>
      </w:r>
      <w:r>
        <w:rPr/>
        <w:t>samples are</w:t>
      </w:r>
      <w:r>
        <w:rPr>
          <w:spacing w:val="-3"/>
        </w:rPr>
        <w:t> </w:t>
      </w:r>
      <w:r>
        <w:rPr/>
        <w:t>centrifuged (5000xg, 15</w:t>
      </w:r>
      <w:r>
        <w:rPr>
          <w:spacing w:val="-4"/>
        </w:rPr>
        <w:t> </w:t>
      </w:r>
      <w:r>
        <w:rPr/>
        <w:t>min) and serum</w:t>
      </w:r>
      <w:r>
        <w:rPr>
          <w:spacing w:val="-3"/>
        </w:rPr>
        <w:t> </w:t>
      </w:r>
      <w:r>
        <w:rPr/>
        <w:t>are</w:t>
      </w:r>
      <w:r>
        <w:rPr>
          <w:spacing w:val="-3"/>
        </w:rPr>
        <w:t> </w:t>
      </w:r>
      <w:r>
        <w:rPr/>
        <w:t>collected and started at</w:t>
      </w:r>
    </w:p>
    <w:p>
      <w:pPr>
        <w:pStyle w:val="BodyText"/>
        <w:spacing w:line="229" w:lineRule="exact" w:before="3"/>
      </w:pPr>
      <w:r>
        <w:rPr/>
        <w:t>-20</w:t>
      </w:r>
      <w:r>
        <w:rPr>
          <w:spacing w:val="2"/>
        </w:rPr>
        <w:t> </w:t>
      </w:r>
      <w:r>
        <w:rPr/>
        <w:t>ᵒC</w:t>
      </w:r>
      <w:r>
        <w:rPr>
          <w:spacing w:val="-5"/>
        </w:rPr>
        <w:t> </w:t>
      </w:r>
      <w:r>
        <w:rPr/>
        <w:t>until</w:t>
      </w:r>
      <w:r>
        <w:rPr>
          <w:spacing w:val="-7"/>
        </w:rPr>
        <w:t> </w:t>
      </w:r>
      <w:r>
        <w:rPr>
          <w:spacing w:val="-2"/>
        </w:rPr>
        <w:t>analysis.</w:t>
      </w:r>
    </w:p>
    <w:p>
      <w:pPr>
        <w:pStyle w:val="Heading2"/>
        <w:spacing w:line="227" w:lineRule="exact"/>
      </w:pPr>
      <w:r>
        <w:rPr>
          <w:spacing w:val="-2"/>
        </w:rPr>
        <w:t>INTRADEUODENAL</w:t>
      </w:r>
      <w:r>
        <w:rPr>
          <w:spacing w:val="10"/>
        </w:rPr>
        <w:t> </w:t>
      </w:r>
      <w:r>
        <w:rPr>
          <w:spacing w:val="-2"/>
        </w:rPr>
        <w:t>ADMINISTRATION</w:t>
      </w:r>
    </w:p>
    <w:p>
      <w:pPr>
        <w:pStyle w:val="BodyText"/>
        <w:ind w:right="39"/>
      </w:pPr>
      <w:r>
        <w:rPr/>
        <w:t>Rats are anesthetized by</w:t>
      </w:r>
      <w:r>
        <w:rPr>
          <w:spacing w:val="-2"/>
        </w:rPr>
        <w:t> </w:t>
      </w:r>
      <w:r>
        <w:rPr/>
        <w:t>intraperitoneal injection of 60mg/kg of</w:t>
      </w:r>
      <w:r>
        <w:rPr>
          <w:spacing w:val="-1"/>
        </w:rPr>
        <w:t> </w:t>
      </w:r>
      <w:r>
        <w:rPr/>
        <w:t>thiopentone sodium (short acting</w:t>
      </w:r>
      <w:r>
        <w:rPr>
          <w:spacing w:val="-1"/>
        </w:rPr>
        <w:t> </w:t>
      </w:r>
      <w:r>
        <w:rPr/>
        <w:t>anaesthetic agent). Small incisions are made at abdomen, duodenum is located and similar formulations are administered directly into the duodenum with syringe. Blood samples are collected and processed as described in intravenous route.</w:t>
      </w:r>
    </w:p>
    <w:p>
      <w:pPr>
        <w:pStyle w:val="Heading2"/>
        <w:spacing w:before="5"/>
      </w:pPr>
      <w:r>
        <w:rPr>
          <w:spacing w:val="-2"/>
        </w:rPr>
        <w:t>BIODISTRIBUTION</w:t>
      </w:r>
      <w:r>
        <w:rPr>
          <w:spacing w:val="13"/>
        </w:rPr>
        <w:t> </w:t>
      </w:r>
      <w:r>
        <w:rPr>
          <w:spacing w:val="-2"/>
        </w:rPr>
        <w:t>STUDIES</w:t>
      </w:r>
    </w:p>
    <w:p>
      <w:pPr>
        <w:pStyle w:val="BodyText"/>
        <w:ind w:right="38"/>
      </w:pPr>
      <w:r>
        <w:rPr/>
        <w:t>Tissue distribution studies are carried out in Swiss albino mice after 7-day acclimatization period. At predetermined time points (like 15, 30, 45, 60, 90, 120, 180, 360 and 720 min) three animals at each time point from each group is given anaesthesia</w:t>
      </w:r>
      <w:r>
        <w:rPr>
          <w:spacing w:val="-4"/>
        </w:rPr>
        <w:t> </w:t>
      </w:r>
      <w:r>
        <w:rPr/>
        <w:t>and</w:t>
      </w:r>
      <w:r>
        <w:rPr>
          <w:spacing w:val="-2"/>
        </w:rPr>
        <w:t> </w:t>
      </w:r>
      <w:r>
        <w:rPr/>
        <w:t>blood is</w:t>
      </w:r>
      <w:r>
        <w:rPr>
          <w:spacing w:val="-3"/>
        </w:rPr>
        <w:t> </w:t>
      </w:r>
      <w:r>
        <w:rPr/>
        <w:t>collected via cardiac</w:t>
      </w:r>
      <w:r>
        <w:rPr>
          <w:spacing w:val="-4"/>
        </w:rPr>
        <w:t> </w:t>
      </w:r>
      <w:r>
        <w:rPr/>
        <w:t>puncture. Tissues of interest brain, liver, spleen, kidney, and heart) are collected immediately after at different time points cervical dislocation at different time points and they were blotted dry with tissue paper. Serum and</w:t>
      </w:r>
      <w:r>
        <w:rPr>
          <w:spacing w:val="-2"/>
        </w:rPr>
        <w:t> </w:t>
      </w:r>
      <w:r>
        <w:rPr/>
        <w:t>tissue samples</w:t>
      </w:r>
      <w:r>
        <w:rPr>
          <w:spacing w:val="-2"/>
        </w:rPr>
        <w:t> </w:t>
      </w:r>
      <w:r>
        <w:rPr/>
        <w:t>are frozenat-20C until analysis.</w:t>
      </w:r>
    </w:p>
    <w:p>
      <w:pPr>
        <w:pStyle w:val="Heading2"/>
        <w:spacing w:line="240" w:lineRule="auto" w:before="2"/>
        <w:ind w:right="29"/>
      </w:pPr>
      <w:r>
        <w:rPr/>
        <w:t>APPLICATIONS</w:t>
      </w:r>
      <w:r>
        <w:rPr>
          <w:spacing w:val="-10"/>
        </w:rPr>
        <w:t> </w:t>
      </w:r>
      <w:r>
        <w:rPr/>
        <w:t>OF</w:t>
      </w:r>
      <w:r>
        <w:rPr>
          <w:spacing w:val="-11"/>
        </w:rPr>
        <w:t> </w:t>
      </w:r>
      <w:r>
        <w:rPr/>
        <w:t>SOLID</w:t>
      </w:r>
      <w:r>
        <w:rPr>
          <w:spacing w:val="-13"/>
        </w:rPr>
        <w:t> </w:t>
      </w:r>
      <w:r>
        <w:rPr/>
        <w:t>LIQUID NANOPARTICLES </w:t>
      </w:r>
      <w:r>
        <w:rPr>
          <w:vertAlign w:val="superscript"/>
        </w:rPr>
        <w:t>49-50</w:t>
      </w:r>
    </w:p>
    <w:p>
      <w:pPr>
        <w:spacing w:line="228" w:lineRule="exact" w:before="1"/>
        <w:ind w:left="141" w:right="0" w:firstLine="0"/>
        <w:jc w:val="left"/>
        <w:rPr>
          <w:b/>
          <w:sz w:val="20"/>
        </w:rPr>
      </w:pPr>
      <w:r>
        <w:rPr>
          <w:b/>
          <w:sz w:val="20"/>
        </w:rPr>
        <w:t>ORAL</w:t>
      </w:r>
      <w:r>
        <w:rPr>
          <w:b/>
          <w:spacing w:val="-1"/>
          <w:sz w:val="20"/>
        </w:rPr>
        <w:t> </w:t>
      </w:r>
      <w:r>
        <w:rPr>
          <w:b/>
          <w:spacing w:val="-2"/>
          <w:sz w:val="20"/>
        </w:rPr>
        <w:t>DELIVERY</w:t>
      </w:r>
    </w:p>
    <w:p>
      <w:pPr>
        <w:pStyle w:val="BodyText"/>
        <w:ind w:right="38"/>
      </w:pPr>
      <w:r>
        <w:rPr/>
        <w:t>Oral administration of SLNs is possible as aqueous</w:t>
      </w:r>
      <w:r>
        <w:rPr>
          <w:spacing w:val="80"/>
        </w:rPr>
        <w:t> </w:t>
      </w:r>
      <w:r>
        <w:rPr/>
        <w:t>dispersion or after transforming</w:t>
      </w:r>
      <w:r>
        <w:rPr>
          <w:spacing w:val="-3"/>
        </w:rPr>
        <w:t> </w:t>
      </w:r>
      <w:r>
        <w:rPr/>
        <w:t>in to</w:t>
      </w:r>
      <w:r>
        <w:rPr>
          <w:spacing w:val="-3"/>
        </w:rPr>
        <w:t> </w:t>
      </w:r>
      <w:r>
        <w:rPr/>
        <w:t>dosage</w:t>
      </w:r>
      <w:r>
        <w:rPr>
          <w:spacing w:val="-1"/>
        </w:rPr>
        <w:t> </w:t>
      </w:r>
      <w:r>
        <w:rPr/>
        <w:t>form</w:t>
      </w:r>
      <w:r>
        <w:rPr>
          <w:spacing w:val="-1"/>
        </w:rPr>
        <w:t> </w:t>
      </w:r>
      <w:r>
        <w:rPr/>
        <w:t>i.e. tablets, pellets, capsules or powder in sachets. For the production of the</w:t>
      </w:r>
      <w:r>
        <w:rPr>
          <w:spacing w:val="-4"/>
        </w:rPr>
        <w:t> </w:t>
      </w:r>
      <w:r>
        <w:rPr/>
        <w:t>tablets</w:t>
      </w:r>
      <w:r>
        <w:rPr>
          <w:spacing w:val="-2"/>
        </w:rPr>
        <w:t> </w:t>
      </w:r>
      <w:r>
        <w:rPr/>
        <w:t>the</w:t>
      </w:r>
      <w:r>
        <w:rPr>
          <w:spacing w:val="-4"/>
        </w:rPr>
        <w:t> </w:t>
      </w:r>
      <w:r>
        <w:rPr/>
        <w:t>aqueous</w:t>
      </w:r>
      <w:r>
        <w:rPr>
          <w:spacing w:val="-2"/>
        </w:rPr>
        <w:t> </w:t>
      </w:r>
      <w:r>
        <w:rPr/>
        <w:t>SLN</w:t>
      </w:r>
      <w:r>
        <w:rPr>
          <w:spacing w:val="-2"/>
        </w:rPr>
        <w:t> </w:t>
      </w:r>
      <w:r>
        <w:rPr/>
        <w:t>dispersion can be</w:t>
      </w:r>
      <w:r>
        <w:rPr>
          <w:spacing w:val="-4"/>
        </w:rPr>
        <w:t> </w:t>
      </w:r>
      <w:r>
        <w:rPr/>
        <w:t>used</w:t>
      </w:r>
      <w:r>
        <w:rPr>
          <w:spacing w:val="-1"/>
        </w:rPr>
        <w:t> </w:t>
      </w:r>
      <w:r>
        <w:rPr/>
        <w:t>instead</w:t>
      </w:r>
      <w:r>
        <w:rPr>
          <w:spacing w:val="-1"/>
        </w:rPr>
        <w:t> </w:t>
      </w:r>
      <w:r>
        <w:rPr/>
        <w:t>of a granulation fluid in the granulation process. Alternatively SLN can be transferred to a powder (e.g. by spray drying)</w:t>
      </w:r>
      <w:r>
        <w:rPr>
          <w:spacing w:val="40"/>
        </w:rPr>
        <w:t> </w:t>
      </w:r>
      <w:r>
        <w:rPr/>
        <w:t>and added to the tableting powder mixture. For the</w:t>
      </w:r>
      <w:r>
        <w:rPr>
          <w:spacing w:val="40"/>
        </w:rPr>
        <w:t> </w:t>
      </w:r>
      <w:r>
        <w:rPr/>
        <w:t>production of pellets the SLN dispersion can be used as wetting agent in the extrusion process. SLN powder can be used for the</w:t>
      </w:r>
    </w:p>
    <w:p>
      <w:pPr>
        <w:pStyle w:val="BodyText"/>
        <w:ind w:right="39"/>
      </w:pPr>
      <w:r>
        <w:rPr/>
        <w:t>filling of hard gelatine capsules; or the SLN can be produced directly in liquid PEG 600 and filled in to soft gelatine capsules. Sachets are also possible using spray dried or lyophilized powers. The</w:t>
      </w:r>
      <w:r>
        <w:rPr>
          <w:spacing w:val="-5"/>
        </w:rPr>
        <w:t> </w:t>
      </w:r>
      <w:r>
        <w:rPr/>
        <w:t>microclimate</w:t>
      </w:r>
      <w:r>
        <w:rPr>
          <w:spacing w:val="-1"/>
        </w:rPr>
        <w:t> </w:t>
      </w:r>
      <w:r>
        <w:rPr/>
        <w:t>of</w:t>
      </w:r>
      <w:r>
        <w:rPr>
          <w:spacing w:val="-2"/>
        </w:rPr>
        <w:t> </w:t>
      </w:r>
      <w:r>
        <w:rPr/>
        <w:t>the</w:t>
      </w:r>
      <w:r>
        <w:rPr>
          <w:spacing w:val="-1"/>
        </w:rPr>
        <w:t> </w:t>
      </w:r>
      <w:r>
        <w:rPr/>
        <w:t>stomach favours particle aggregation due to the acidity and high ionic</w:t>
      </w:r>
      <w:r>
        <w:rPr>
          <w:spacing w:val="80"/>
        </w:rPr>
        <w:t> </w:t>
      </w:r>
      <w:r>
        <w:rPr/>
        <w:t>strength. It can be expected, that food will have a large</w:t>
      </w:r>
      <w:r>
        <w:rPr>
          <w:spacing w:val="40"/>
        </w:rPr>
        <w:t> </w:t>
      </w:r>
      <w:r>
        <w:rPr/>
        <w:t>impact on SLN performance, however no experimental data have been publish on this issue to our knowledge.</w:t>
      </w:r>
    </w:p>
    <w:p>
      <w:pPr>
        <w:pStyle w:val="Heading2"/>
      </w:pPr>
      <w:r>
        <w:rPr/>
        <w:t>TOPICAL</w:t>
      </w:r>
      <w:r>
        <w:rPr>
          <w:spacing w:val="-8"/>
        </w:rPr>
        <w:t> </w:t>
      </w:r>
      <w:r>
        <w:rPr>
          <w:spacing w:val="-2"/>
        </w:rPr>
        <w:t>DELIVERY</w:t>
      </w:r>
    </w:p>
    <w:p>
      <w:pPr>
        <w:pStyle w:val="BodyText"/>
        <w:ind w:right="39"/>
      </w:pPr>
      <w:r>
        <w:rPr/>
        <w:t>Topical applications of lipid nanoparticles have been used with promising results either for therapeutic or cosmetic purposes. SLN have shown some protective activity on skin surface, such as a UV-blocking potential. SLN may be formulated</w:t>
      </w:r>
      <w:r>
        <w:rPr>
          <w:spacing w:val="-3"/>
        </w:rPr>
        <w:t> </w:t>
      </w:r>
      <w:r>
        <w:rPr/>
        <w:t>in creams,</w:t>
      </w:r>
      <w:r>
        <w:rPr>
          <w:spacing w:val="-4"/>
        </w:rPr>
        <w:t> </w:t>
      </w:r>
      <w:r>
        <w:rPr/>
        <w:t>gels, sprays. The</w:t>
      </w:r>
      <w:r>
        <w:rPr>
          <w:spacing w:val="-5"/>
        </w:rPr>
        <w:t> </w:t>
      </w:r>
      <w:r>
        <w:rPr/>
        <w:t>smallest</w:t>
      </w:r>
      <w:r>
        <w:rPr>
          <w:spacing w:val="-1"/>
        </w:rPr>
        <w:t> </w:t>
      </w:r>
      <w:r>
        <w:rPr/>
        <w:t>particle</w:t>
      </w:r>
      <w:r>
        <w:rPr>
          <w:spacing w:val="-5"/>
        </w:rPr>
        <w:t> </w:t>
      </w:r>
      <w:r>
        <w:rPr/>
        <w:t>sizes are observed for SLN dispersions with low lipid content (up to 5%). Both the low</w:t>
      </w:r>
      <w:r>
        <w:rPr>
          <w:spacing w:val="-1"/>
        </w:rPr>
        <w:t> </w:t>
      </w:r>
      <w:r>
        <w:rPr/>
        <w:t>concentration of the dispersed lipid and the low viscosity are disadvantageous for dermal administration. In most cases, the incorporation of the SLN dispersion in an ointment or gel is necessary in order to achieve a formulation which can be administered to the skin. The</w:t>
      </w:r>
      <w:r>
        <w:rPr>
          <w:spacing w:val="-2"/>
        </w:rPr>
        <w:t> </w:t>
      </w:r>
      <w:r>
        <w:rPr/>
        <w:t>incorporation step implies</w:t>
      </w:r>
      <w:r>
        <w:rPr>
          <w:spacing w:val="-1"/>
        </w:rPr>
        <w:t> </w:t>
      </w:r>
      <w:r>
        <w:rPr/>
        <w:t>a further reduction of</w:t>
      </w:r>
      <w:r>
        <w:rPr>
          <w:spacing w:val="-3"/>
        </w:rPr>
        <w:t> </w:t>
      </w:r>
      <w:r>
        <w:rPr/>
        <w:t>the</w:t>
      </w:r>
      <w:r>
        <w:rPr>
          <w:spacing w:val="-2"/>
        </w:rPr>
        <w:t> </w:t>
      </w:r>
      <w:r>
        <w:rPr/>
        <w:t>lipid content. An increase of the solid lipid content of the SLN dispersion results</w:t>
      </w:r>
      <w:r>
        <w:rPr>
          <w:spacing w:val="-4"/>
        </w:rPr>
        <w:t> </w:t>
      </w:r>
      <w:r>
        <w:rPr/>
        <w:t>in semisolid,</w:t>
      </w:r>
      <w:r>
        <w:rPr>
          <w:spacing w:val="-1"/>
        </w:rPr>
        <w:t> </w:t>
      </w:r>
      <w:r>
        <w:rPr/>
        <w:t>gel-like</w:t>
      </w:r>
      <w:r>
        <w:rPr>
          <w:spacing w:val="-2"/>
        </w:rPr>
        <w:t> </w:t>
      </w:r>
      <w:r>
        <w:rPr/>
        <w:t>systems, which might be</w:t>
      </w:r>
      <w:r>
        <w:rPr>
          <w:spacing w:val="55"/>
        </w:rPr>
        <w:t>  </w:t>
      </w:r>
      <w:r>
        <w:rPr/>
        <w:t>acceptable</w:t>
      </w:r>
      <w:r>
        <w:rPr>
          <w:spacing w:val="55"/>
        </w:rPr>
        <w:t>  </w:t>
      </w:r>
      <w:r>
        <w:rPr/>
        <w:t>for</w:t>
      </w:r>
      <w:r>
        <w:rPr>
          <w:spacing w:val="57"/>
        </w:rPr>
        <w:t>  </w:t>
      </w:r>
      <w:r>
        <w:rPr/>
        <w:t>direct</w:t>
      </w:r>
      <w:r>
        <w:rPr>
          <w:spacing w:val="55"/>
        </w:rPr>
        <w:t>  </w:t>
      </w:r>
      <w:r>
        <w:rPr/>
        <w:t>application</w:t>
      </w:r>
      <w:r>
        <w:rPr>
          <w:spacing w:val="57"/>
        </w:rPr>
        <w:t>  </w:t>
      </w:r>
      <w:r>
        <w:rPr/>
        <w:t>on</w:t>
      </w:r>
      <w:r>
        <w:rPr>
          <w:spacing w:val="57"/>
        </w:rPr>
        <w:t>  </w:t>
      </w:r>
      <w:r>
        <w:rPr/>
        <w:t>the</w:t>
      </w:r>
      <w:r>
        <w:rPr>
          <w:spacing w:val="53"/>
        </w:rPr>
        <w:t>  </w:t>
      </w:r>
      <w:r>
        <w:rPr>
          <w:spacing w:val="-4"/>
        </w:rPr>
        <w:t>skin.</w:t>
      </w:r>
    </w:p>
    <w:p>
      <w:pPr>
        <w:pStyle w:val="BodyText"/>
        <w:spacing w:before="93"/>
        <w:ind w:right="133"/>
      </w:pPr>
      <w:r>
        <w:rPr/>
        <w:br w:type="column"/>
      </w:r>
      <w:r>
        <w:rPr/>
        <w:t>Unfortunately, in most cases, the increase in lipid content is connected with a large increase of the particle size. Surprisingly it has been found that very high concentrated (30–40%), semisolid cetyl palmitate formulation preserves</w:t>
      </w:r>
      <w:r>
        <w:rPr>
          <w:spacing w:val="40"/>
        </w:rPr>
        <w:t> </w:t>
      </w:r>
      <w:r>
        <w:rPr/>
        <w:t>the colloidal particle size.</w:t>
      </w:r>
    </w:p>
    <w:p>
      <w:pPr>
        <w:pStyle w:val="Heading2"/>
        <w:spacing w:before="7"/>
      </w:pPr>
      <w:r>
        <w:rPr>
          <w:spacing w:val="-2"/>
        </w:rPr>
        <w:t>PARENTERAL</w:t>
      </w:r>
      <w:r>
        <w:rPr>
          <w:spacing w:val="5"/>
        </w:rPr>
        <w:t> </w:t>
      </w:r>
      <w:r>
        <w:rPr>
          <w:spacing w:val="-2"/>
        </w:rPr>
        <w:t>DELIVERY</w:t>
      </w:r>
    </w:p>
    <w:p>
      <w:pPr>
        <w:pStyle w:val="BodyText"/>
        <w:ind w:right="130"/>
      </w:pPr>
      <w:r>
        <w:rPr/>
        <w:t>SLNs can be administered intravenously, intramuscularly, subcutaneously or to the target organ, because of their small size. The particles are cleared from the circulation by the</w:t>
      </w:r>
      <w:r>
        <w:rPr>
          <w:spacing w:val="40"/>
        </w:rPr>
        <w:t> </w:t>
      </w:r>
      <w:r>
        <w:rPr/>
        <w:t>liver and the spleen. SLN formulations can be used for systemic body distribution with a minimized risk of blood clotting and aggregation leads to embolism. SLNs formulations also provide a sustained release depot of the drug when administered subcutaneously or intramuscularly. SLNs have been administered intravenously to animals. Pharmacokinetic studies of doxorubicin incorporated into SLNs showed higher blood levels in comparison to a commercial drug solution after i.v. injection in rats. Concerning the body distribution, SLNs were found to cause higher drug concentrations in lung, spleen and brain, while</w:t>
      </w:r>
      <w:r>
        <w:rPr>
          <w:spacing w:val="40"/>
        </w:rPr>
        <w:t> </w:t>
      </w:r>
      <w:r>
        <w:rPr/>
        <w:t>the solution led to a distribution more into liver and kidneys. Yang et al. reported on the pharmacokinetics and body distribution of camptothecin after i.v. injection in mice. In comparison to a drug solution SLN was found to give much higher AUC/dose and mean residence times (MRT)</w:t>
      </w:r>
      <w:r>
        <w:rPr>
          <w:spacing w:val="40"/>
        </w:rPr>
        <w:t> </w:t>
      </w:r>
      <w:r>
        <w:rPr/>
        <w:t>especially in brain, heart and reticuloendothelial cells containing organs. The highest AUC ratio of SLN to drug solution among the tested organs was found in the brain. Paclitaxel containing solid lipid nanoparticles (SLNs) were prepared and studied in culture of macrophage.</w:t>
      </w:r>
    </w:p>
    <w:p>
      <w:pPr>
        <w:pStyle w:val="Heading2"/>
      </w:pPr>
      <w:r>
        <w:rPr>
          <w:spacing w:val="-2"/>
        </w:rPr>
        <w:t>TRANSDERMAL</w:t>
      </w:r>
      <w:r>
        <w:rPr>
          <w:spacing w:val="9"/>
        </w:rPr>
        <w:t> </w:t>
      </w:r>
      <w:r>
        <w:rPr>
          <w:spacing w:val="-2"/>
        </w:rPr>
        <w:t>APPLICATION</w:t>
      </w:r>
    </w:p>
    <w:p>
      <w:pPr>
        <w:pStyle w:val="BodyText"/>
        <w:ind w:right="132"/>
      </w:pPr>
      <w:r>
        <w:rPr/>
        <w:t>The smallest particle sizes are observed for SLN dispersions with low</w:t>
      </w:r>
      <w:r>
        <w:rPr>
          <w:spacing w:val="-6"/>
        </w:rPr>
        <w:t> </w:t>
      </w:r>
      <w:r>
        <w:rPr/>
        <w:t>lipid</w:t>
      </w:r>
      <w:r>
        <w:rPr>
          <w:spacing w:val="-1"/>
        </w:rPr>
        <w:t> </w:t>
      </w:r>
      <w:r>
        <w:rPr/>
        <w:t>content (up</w:t>
      </w:r>
      <w:r>
        <w:rPr>
          <w:spacing w:val="-4"/>
        </w:rPr>
        <w:t> </w:t>
      </w:r>
      <w:r>
        <w:rPr/>
        <w:t>to</w:t>
      </w:r>
      <w:r>
        <w:rPr>
          <w:spacing w:val="-4"/>
        </w:rPr>
        <w:t> </w:t>
      </w:r>
      <w:r>
        <w:rPr/>
        <w:t>5%).</w:t>
      </w:r>
      <w:r>
        <w:rPr>
          <w:spacing w:val="-2"/>
        </w:rPr>
        <w:t> </w:t>
      </w:r>
      <w:r>
        <w:rPr/>
        <w:t>Both the</w:t>
      </w:r>
      <w:r>
        <w:rPr>
          <w:spacing w:val="-3"/>
        </w:rPr>
        <w:t> </w:t>
      </w:r>
      <w:r>
        <w:rPr/>
        <w:t>low</w:t>
      </w:r>
      <w:r>
        <w:rPr>
          <w:spacing w:val="-6"/>
        </w:rPr>
        <w:t> </w:t>
      </w:r>
      <w:r>
        <w:rPr/>
        <w:t>concentration of the dispersed lipid and the low viscosity are disadvantageous</w:t>
      </w:r>
      <w:r>
        <w:rPr>
          <w:spacing w:val="-4"/>
        </w:rPr>
        <w:t> </w:t>
      </w:r>
      <w:r>
        <w:rPr/>
        <w:t>for dermal</w:t>
      </w:r>
      <w:r>
        <w:rPr>
          <w:spacing w:val="-6"/>
        </w:rPr>
        <w:t> </w:t>
      </w:r>
      <w:r>
        <w:rPr/>
        <w:t>administration.</w:t>
      </w:r>
      <w:r>
        <w:rPr>
          <w:spacing w:val="-1"/>
        </w:rPr>
        <w:t> </w:t>
      </w:r>
      <w:r>
        <w:rPr/>
        <w:t>In</w:t>
      </w:r>
      <w:r>
        <w:rPr>
          <w:spacing w:val="-3"/>
        </w:rPr>
        <w:t> </w:t>
      </w:r>
      <w:r>
        <w:rPr/>
        <w:t>most</w:t>
      </w:r>
      <w:r>
        <w:rPr>
          <w:spacing w:val="-2"/>
        </w:rPr>
        <w:t> </w:t>
      </w:r>
      <w:r>
        <w:rPr/>
        <w:t>cases,</w:t>
      </w:r>
      <w:r>
        <w:rPr>
          <w:spacing w:val="-1"/>
        </w:rPr>
        <w:t> </w:t>
      </w:r>
      <w:r>
        <w:rPr/>
        <w:t>the incorporation of the SLN dispersion in an ointment or gel is necessary in order to achieve a formulation which can be administered to the skin. The incorporation step implies a further reduction of the lipid content of the SLN dispersion resulting in semisolid, gel-like systems, which might be acceptable for direct application on the skin.</w:t>
      </w:r>
    </w:p>
    <w:p>
      <w:pPr>
        <w:pStyle w:val="Heading2"/>
        <w:spacing w:line="225" w:lineRule="exact" w:before="5"/>
      </w:pPr>
      <w:r>
        <w:rPr/>
        <w:t>PULMONARY</w:t>
      </w:r>
      <w:r>
        <w:rPr>
          <w:spacing w:val="-10"/>
        </w:rPr>
        <w:t> </w:t>
      </w:r>
      <w:r>
        <w:rPr>
          <w:spacing w:val="-2"/>
        </w:rPr>
        <w:t>DELIVERY</w:t>
      </w:r>
    </w:p>
    <w:p>
      <w:pPr>
        <w:pStyle w:val="BodyText"/>
        <w:ind w:right="130"/>
      </w:pPr>
      <w:r>
        <w:rPr/>
        <w:t>Unique features that can facilitate systemic delivery via pulmonary administration of drugs are large surface area, good vascularisation, large capacity for solute exchange, ultra-thinness of the alveolar epithelium (0.1-0.5 mm) and first-pass metabolism is avoided. To demonstrate the suitability in principle of SLN for pulmonary delivery, aqueous SLN dispersions were nebulized with a Pari-Boy,</w:t>
      </w:r>
      <w:r>
        <w:rPr>
          <w:spacing w:val="80"/>
        </w:rPr>
        <w:t> </w:t>
      </w:r>
      <w:r>
        <w:rPr/>
        <w:t>the aerosol droplets were collected and the size of SLN analysed. It could</w:t>
      </w:r>
      <w:r>
        <w:rPr>
          <w:spacing w:val="-1"/>
        </w:rPr>
        <w:t> </w:t>
      </w:r>
      <w:r>
        <w:rPr/>
        <w:t>be</w:t>
      </w:r>
      <w:r>
        <w:rPr>
          <w:spacing w:val="-4"/>
        </w:rPr>
        <w:t> </w:t>
      </w:r>
      <w:r>
        <w:rPr/>
        <w:t>shown that the</w:t>
      </w:r>
      <w:r>
        <w:rPr>
          <w:spacing w:val="-4"/>
        </w:rPr>
        <w:t> </w:t>
      </w:r>
      <w:r>
        <w:rPr/>
        <w:t>particle</w:t>
      </w:r>
      <w:r>
        <w:rPr>
          <w:spacing w:val="-4"/>
        </w:rPr>
        <w:t> </w:t>
      </w:r>
      <w:r>
        <w:rPr/>
        <w:t>size</w:t>
      </w:r>
      <w:r>
        <w:rPr>
          <w:spacing w:val="-4"/>
        </w:rPr>
        <w:t> </w:t>
      </w:r>
      <w:r>
        <w:rPr/>
        <w:t>distributions of SLN before nebulization and after nebulization were almost identical, only very little aggregation could be</w:t>
      </w:r>
      <w:r>
        <w:rPr>
          <w:spacing w:val="40"/>
        </w:rPr>
        <w:t> </w:t>
      </w:r>
      <w:r>
        <w:rPr/>
        <w:t>detected which is of no significance for pulmonary administration. Alternatively</w:t>
      </w:r>
      <w:r>
        <w:rPr>
          <w:spacing w:val="-8"/>
        </w:rPr>
        <w:t> </w:t>
      </w:r>
      <w:r>
        <w:rPr/>
        <w:t>the</w:t>
      </w:r>
      <w:r>
        <w:rPr>
          <w:spacing w:val="-3"/>
        </w:rPr>
        <w:t> </w:t>
      </w:r>
      <w:r>
        <w:rPr/>
        <w:t>SLN</w:t>
      </w:r>
      <w:r>
        <w:rPr>
          <w:spacing w:val="-1"/>
        </w:rPr>
        <w:t> </w:t>
      </w:r>
      <w:r>
        <w:rPr/>
        <w:t>powders</w:t>
      </w:r>
      <w:r>
        <w:rPr>
          <w:spacing w:val="-1"/>
        </w:rPr>
        <w:t> </w:t>
      </w:r>
      <w:r>
        <w:rPr/>
        <w:t>might be</w:t>
      </w:r>
      <w:r>
        <w:rPr>
          <w:spacing w:val="-3"/>
        </w:rPr>
        <w:t> </w:t>
      </w:r>
      <w:r>
        <w:rPr/>
        <w:t>used in dry</w:t>
      </w:r>
      <w:r>
        <w:rPr>
          <w:spacing w:val="-1"/>
        </w:rPr>
        <w:t> </w:t>
      </w:r>
      <w:r>
        <w:rPr/>
        <w:t>powder inhalers. SLN could be spray-dried using, e.g. lactose as excipient in the spray drying process.</w:t>
      </w:r>
    </w:p>
    <w:p>
      <w:pPr>
        <w:pStyle w:val="Heading2"/>
        <w:spacing w:before="2"/>
      </w:pPr>
      <w:r>
        <w:rPr/>
        <w:t>SLNS</w:t>
      </w:r>
      <w:r>
        <w:rPr>
          <w:spacing w:val="-5"/>
        </w:rPr>
        <w:t> </w:t>
      </w:r>
      <w:r>
        <w:rPr/>
        <w:t>AS</w:t>
      </w:r>
      <w:r>
        <w:rPr>
          <w:spacing w:val="-5"/>
        </w:rPr>
        <w:t> </w:t>
      </w:r>
      <w:r>
        <w:rPr/>
        <w:t>GENE</w:t>
      </w:r>
      <w:r>
        <w:rPr>
          <w:spacing w:val="-4"/>
        </w:rPr>
        <w:t> </w:t>
      </w:r>
      <w:r>
        <w:rPr/>
        <w:t>VECTOR</w:t>
      </w:r>
      <w:r>
        <w:rPr>
          <w:spacing w:val="-9"/>
        </w:rPr>
        <w:t> </w:t>
      </w:r>
      <w:r>
        <w:rPr>
          <w:spacing w:val="-2"/>
        </w:rPr>
        <w:t>CARRIER</w:t>
      </w:r>
    </w:p>
    <w:p>
      <w:pPr>
        <w:pStyle w:val="BodyText"/>
        <w:ind w:right="132"/>
      </w:pPr>
      <w:r>
        <w:rPr/>
        <w:t>SLN</w:t>
      </w:r>
      <w:r>
        <w:rPr>
          <w:spacing w:val="-4"/>
        </w:rPr>
        <w:t> </w:t>
      </w:r>
      <w:r>
        <w:rPr/>
        <w:t>can be</w:t>
      </w:r>
      <w:r>
        <w:rPr>
          <w:spacing w:val="-5"/>
        </w:rPr>
        <w:t> </w:t>
      </w:r>
      <w:r>
        <w:rPr/>
        <w:t>used</w:t>
      </w:r>
      <w:r>
        <w:rPr>
          <w:spacing w:val="-3"/>
        </w:rPr>
        <w:t> </w:t>
      </w:r>
      <w:r>
        <w:rPr/>
        <w:t>in</w:t>
      </w:r>
      <w:r>
        <w:rPr>
          <w:spacing w:val="-3"/>
        </w:rPr>
        <w:t> </w:t>
      </w:r>
      <w:r>
        <w:rPr/>
        <w:t>the</w:t>
      </w:r>
      <w:r>
        <w:rPr>
          <w:spacing w:val="-5"/>
        </w:rPr>
        <w:t> </w:t>
      </w:r>
      <w:r>
        <w:rPr/>
        <w:t>gene</w:t>
      </w:r>
      <w:r>
        <w:rPr>
          <w:spacing w:val="-5"/>
        </w:rPr>
        <w:t> </w:t>
      </w:r>
      <w:r>
        <w:rPr/>
        <w:t>vector formulation. In</w:t>
      </w:r>
      <w:r>
        <w:rPr>
          <w:spacing w:val="-3"/>
        </w:rPr>
        <w:t> </w:t>
      </w:r>
      <w:r>
        <w:rPr/>
        <w:t>one</w:t>
      </w:r>
      <w:r>
        <w:rPr>
          <w:spacing w:val="-5"/>
        </w:rPr>
        <w:t> </w:t>
      </w:r>
      <w:r>
        <w:rPr/>
        <w:t>work, the gene transfer was optimized by incorporation of a diametric HIV-1 HAT peptide (TAT 2) into SLN gene</w:t>
      </w:r>
      <w:r>
        <w:rPr>
          <w:spacing w:val="80"/>
        </w:rPr>
        <w:t> </w:t>
      </w:r>
      <w:r>
        <w:rPr/>
        <w:t>vector. There are several recent reports of SLN carrying genetic/peptide</w:t>
      </w:r>
      <w:r>
        <w:rPr>
          <w:spacing w:val="30"/>
        </w:rPr>
        <w:t> </w:t>
      </w:r>
      <w:r>
        <w:rPr/>
        <w:t>materials</w:t>
      </w:r>
      <w:r>
        <w:rPr>
          <w:spacing w:val="32"/>
        </w:rPr>
        <w:t> </w:t>
      </w:r>
      <w:r>
        <w:rPr/>
        <w:t>such</w:t>
      </w:r>
      <w:r>
        <w:rPr>
          <w:spacing w:val="38"/>
        </w:rPr>
        <w:t> </w:t>
      </w:r>
      <w:r>
        <w:rPr/>
        <w:t>as</w:t>
      </w:r>
      <w:r>
        <w:rPr>
          <w:spacing w:val="32"/>
        </w:rPr>
        <w:t> </w:t>
      </w:r>
      <w:r>
        <w:rPr/>
        <w:t>DNA,</w:t>
      </w:r>
      <w:r>
        <w:rPr>
          <w:spacing w:val="35"/>
        </w:rPr>
        <w:t> </w:t>
      </w:r>
      <w:r>
        <w:rPr/>
        <w:t>plasmid</w:t>
      </w:r>
      <w:r>
        <w:rPr>
          <w:spacing w:val="34"/>
        </w:rPr>
        <w:t> </w:t>
      </w:r>
      <w:r>
        <w:rPr/>
        <w:t>DNA</w:t>
      </w:r>
      <w:r>
        <w:rPr>
          <w:spacing w:val="32"/>
        </w:rPr>
        <w:t> </w:t>
      </w:r>
      <w:r>
        <w:rPr>
          <w:spacing w:val="-5"/>
        </w:rPr>
        <w:t>and</w:t>
      </w:r>
    </w:p>
    <w:p>
      <w:pPr>
        <w:pStyle w:val="BodyText"/>
        <w:spacing w:after="0"/>
        <w:sectPr>
          <w:headerReference w:type="default" r:id="rId10"/>
          <w:footerReference w:type="default" r:id="rId11"/>
          <w:pgSz w:w="11900" w:h="16820"/>
          <w:pgMar w:header="609" w:footer="785" w:top="1080" w:bottom="980" w:left="708" w:right="708"/>
          <w:cols w:num="2" w:equalWidth="0">
            <w:col w:w="5145" w:space="101"/>
            <w:col w:w="5238"/>
          </w:cols>
        </w:sectPr>
      </w:pPr>
    </w:p>
    <w:p>
      <w:pPr>
        <w:pStyle w:val="BodyText"/>
        <w:spacing w:line="86" w:lineRule="exact"/>
        <w:ind w:left="112"/>
        <w:jc w:val="left"/>
        <w:rPr>
          <w:position w:val="-1"/>
          <w:sz w:val="8"/>
        </w:rPr>
      </w:pPr>
      <w:r>
        <w:rPr>
          <w:position w:val="-1"/>
          <w:sz w:val="8"/>
        </w:rPr>
        <mc:AlternateContent>
          <mc:Choice Requires="wps">
            <w:drawing>
              <wp:inline distT="0" distB="0" distL="0" distR="0">
                <wp:extent cx="6517005" cy="55244"/>
                <wp:effectExtent l="0" t="0" r="0" b="0"/>
                <wp:docPr id="9" name="Group 9"/>
                <wp:cNvGraphicFramePr>
                  <a:graphicFrameLocks/>
                </wp:cNvGraphicFramePr>
                <a:graphic>
                  <a:graphicData uri="http://schemas.microsoft.com/office/word/2010/wordprocessingGroup">
                    <wpg:wgp>
                      <wpg:cNvPr id="9" name="Group 9"/>
                      <wpg:cNvGrpSpPr/>
                      <wpg:grpSpPr>
                        <a:xfrm>
                          <a:off x="0" y="0"/>
                          <a:ext cx="6517005" cy="55244"/>
                          <a:chExt cx="6517005" cy="55244"/>
                        </a:xfrm>
                      </wpg:grpSpPr>
                      <wps:wsp>
                        <wps:cNvPr id="10" name="Graphic 10"/>
                        <wps:cNvSpPr/>
                        <wps:spPr>
                          <a:xfrm>
                            <a:off x="0" y="0"/>
                            <a:ext cx="6517005" cy="55244"/>
                          </a:xfrm>
                          <a:custGeom>
                            <a:avLst/>
                            <a:gdLst/>
                            <a:ahLst/>
                            <a:cxnLst/>
                            <a:rect l="l" t="t" r="r" b="b"/>
                            <a:pathLst>
                              <a:path w="6517005" h="55244">
                                <a:moveTo>
                                  <a:pt x="6516624" y="45720"/>
                                </a:moveTo>
                                <a:lnTo>
                                  <a:pt x="0" y="45720"/>
                                </a:lnTo>
                                <a:lnTo>
                                  <a:pt x="0" y="54864"/>
                                </a:lnTo>
                                <a:lnTo>
                                  <a:pt x="6516624" y="54864"/>
                                </a:lnTo>
                                <a:lnTo>
                                  <a:pt x="6516624" y="45720"/>
                                </a:lnTo>
                                <a:close/>
                              </a:path>
                              <a:path w="6517005" h="55244">
                                <a:moveTo>
                                  <a:pt x="6516624" y="0"/>
                                </a:moveTo>
                                <a:lnTo>
                                  <a:pt x="0" y="0"/>
                                </a:lnTo>
                                <a:lnTo>
                                  <a:pt x="0" y="36576"/>
                                </a:lnTo>
                                <a:lnTo>
                                  <a:pt x="6516624" y="36576"/>
                                </a:lnTo>
                                <a:lnTo>
                                  <a:pt x="6516624" y="0"/>
                                </a:lnTo>
                                <a:close/>
                              </a:path>
                            </a:pathLst>
                          </a:custGeom>
                          <a:solidFill>
                            <a:srgbClr val="622423"/>
                          </a:solidFill>
                        </wps:spPr>
                        <wps:bodyPr wrap="square" lIns="0" tIns="0" rIns="0" bIns="0" rtlCol="0">
                          <a:prstTxWarp prst="textNoShape">
                            <a:avLst/>
                          </a:prstTxWarp>
                          <a:noAutofit/>
                        </wps:bodyPr>
                      </wps:wsp>
                    </wpg:wgp>
                  </a:graphicData>
                </a:graphic>
              </wp:inline>
            </w:drawing>
          </mc:Choice>
          <mc:Fallback>
            <w:pict>
              <v:group style="width:513.15pt;height:4.350pt;mso-position-horizontal-relative:char;mso-position-vertical-relative:line" id="docshapegroup8" coordorigin="0,0" coordsize="10263,87">
                <v:shape style="position:absolute;left:0;top:0;width:10263;height:87" id="docshape9" coordorigin="0,0" coordsize="10263,87" path="m10262,72l0,72,0,86,10262,86,10262,72xm10262,0l0,0,0,58,10262,58,10262,0xe" filled="true" fillcolor="#622423" stroked="false">
                  <v:path arrowok="t"/>
                  <v:fill type="solid"/>
                </v:shape>
              </v:group>
            </w:pict>
          </mc:Fallback>
        </mc:AlternateContent>
      </w:r>
      <w:r>
        <w:rPr>
          <w:position w:val="-1"/>
          <w:sz w:val="8"/>
        </w:rPr>
      </w:r>
    </w:p>
    <w:p>
      <w:pPr>
        <w:pStyle w:val="BodyText"/>
        <w:spacing w:after="0" w:line="86" w:lineRule="exact"/>
        <w:jc w:val="left"/>
        <w:rPr>
          <w:position w:val="-1"/>
          <w:sz w:val="8"/>
        </w:rPr>
        <w:sectPr>
          <w:type w:val="continuous"/>
          <w:pgSz w:w="11900" w:h="16820"/>
          <w:pgMar w:header="609" w:footer="785" w:top="1080" w:bottom="1040" w:left="708" w:right="708"/>
        </w:sectPr>
      </w:pPr>
    </w:p>
    <w:p>
      <w:pPr>
        <w:pStyle w:val="BodyText"/>
        <w:spacing w:before="93"/>
        <w:ind w:right="39"/>
      </w:pPr>
      <w:r>
        <w:rPr/>
        <w:t>other nucleic acids. The lipid nucleic acid nanoparticles were prepared from a liquid nanophase containing water and a water miscible</w:t>
      </w:r>
      <w:r>
        <w:rPr>
          <w:spacing w:val="-4"/>
        </w:rPr>
        <w:t> </w:t>
      </w:r>
      <w:r>
        <w:rPr/>
        <w:t>organic</w:t>
      </w:r>
      <w:r>
        <w:rPr>
          <w:spacing w:val="-4"/>
        </w:rPr>
        <w:t> </w:t>
      </w:r>
      <w:r>
        <w:rPr/>
        <w:t>solvent where</w:t>
      </w:r>
      <w:r>
        <w:rPr>
          <w:spacing w:val="-4"/>
        </w:rPr>
        <w:t> </w:t>
      </w:r>
      <w:r>
        <w:rPr/>
        <w:t>both lipid</w:t>
      </w:r>
      <w:r>
        <w:rPr>
          <w:spacing w:val="-1"/>
        </w:rPr>
        <w:t> </w:t>
      </w:r>
      <w:r>
        <w:rPr/>
        <w:t>and</w:t>
      </w:r>
      <w:r>
        <w:rPr>
          <w:spacing w:val="-1"/>
        </w:rPr>
        <w:t> </w:t>
      </w:r>
      <w:r>
        <w:rPr/>
        <w:t>DNA</w:t>
      </w:r>
      <w:r>
        <w:rPr>
          <w:spacing w:val="-2"/>
        </w:rPr>
        <w:t> </w:t>
      </w:r>
      <w:r>
        <w:rPr/>
        <w:t>are separately dissolved by removing the organic solvent, stable and</w:t>
      </w:r>
      <w:r>
        <w:rPr>
          <w:spacing w:val="-3"/>
        </w:rPr>
        <w:t> </w:t>
      </w:r>
      <w:r>
        <w:rPr/>
        <w:t>homogeneously</w:t>
      </w:r>
      <w:r>
        <w:rPr>
          <w:spacing w:val="-3"/>
        </w:rPr>
        <w:t> </w:t>
      </w:r>
      <w:r>
        <w:rPr/>
        <w:t>sized lipid-nucleic</w:t>
      </w:r>
      <w:r>
        <w:rPr>
          <w:spacing w:val="-2"/>
        </w:rPr>
        <w:t> </w:t>
      </w:r>
      <w:r>
        <w:rPr/>
        <w:t>acid</w:t>
      </w:r>
      <w:r>
        <w:rPr>
          <w:spacing w:val="-3"/>
        </w:rPr>
        <w:t> </w:t>
      </w:r>
      <w:r>
        <w:rPr/>
        <w:t>nanoparticle</w:t>
      </w:r>
      <w:r>
        <w:rPr>
          <w:spacing w:val="-2"/>
        </w:rPr>
        <w:t> </w:t>
      </w:r>
      <w:r>
        <w:rPr/>
        <w:t>(70- 100 nm) were formed. It's called genospheres. It is targeted specific by insertion of an antibody-lipo polymer conjugated in the particle.</w:t>
      </w:r>
    </w:p>
    <w:p>
      <w:pPr>
        <w:pStyle w:val="Heading2"/>
        <w:spacing w:before="3"/>
      </w:pPr>
      <w:r>
        <w:rPr>
          <w:spacing w:val="-2"/>
        </w:rPr>
        <w:t>CONCLUSION</w:t>
      </w:r>
    </w:p>
    <w:p>
      <w:pPr>
        <w:pStyle w:val="BodyText"/>
        <w:ind w:right="39"/>
      </w:pPr>
      <w:r>
        <w:rPr/>
        <w:t>Lipid nanoparticle drug delivery technology presents significant opportunities for improving medical therapeutics, but the technology’s potential remains unrealized. Several technology challenges remain unsolved: appropriate control of</w:t>
      </w:r>
      <w:r>
        <w:rPr>
          <w:spacing w:val="-8"/>
        </w:rPr>
        <w:t> </w:t>
      </w:r>
      <w:r>
        <w:rPr/>
        <w:t>particle</w:t>
      </w:r>
      <w:r>
        <w:rPr>
          <w:spacing w:val="-7"/>
        </w:rPr>
        <w:t> </w:t>
      </w:r>
      <w:r>
        <w:rPr/>
        <w:t>size</w:t>
      </w:r>
      <w:r>
        <w:rPr>
          <w:spacing w:val="-7"/>
        </w:rPr>
        <w:t> </w:t>
      </w:r>
      <w:r>
        <w:rPr/>
        <w:t>and</w:t>
      </w:r>
      <w:r>
        <w:rPr>
          <w:spacing w:val="-3"/>
        </w:rPr>
        <w:t> </w:t>
      </w:r>
      <w:r>
        <w:rPr/>
        <w:t>size</w:t>
      </w:r>
      <w:r>
        <w:rPr>
          <w:spacing w:val="-7"/>
        </w:rPr>
        <w:t> </w:t>
      </w:r>
      <w:r>
        <w:rPr/>
        <w:t>distribution,</w:t>
      </w:r>
      <w:r>
        <w:rPr>
          <w:spacing w:val="-1"/>
        </w:rPr>
        <w:t> </w:t>
      </w:r>
      <w:r>
        <w:rPr/>
        <w:t>short-term</w:t>
      </w:r>
      <w:r>
        <w:rPr>
          <w:spacing w:val="-2"/>
        </w:rPr>
        <w:t> </w:t>
      </w:r>
      <w:r>
        <w:rPr/>
        <w:t>and</w:t>
      </w:r>
      <w:r>
        <w:rPr>
          <w:spacing w:val="-3"/>
        </w:rPr>
        <w:t> </w:t>
      </w:r>
      <w:r>
        <w:rPr/>
        <w:t>long-term lipid crystallinity, drug loading profile, drug release kinetics, and greater</w:t>
      </w:r>
    </w:p>
    <w:p>
      <w:pPr>
        <w:pStyle w:val="BodyText"/>
        <w:spacing w:before="1"/>
        <w:ind w:right="38"/>
        <w:rPr>
          <w:b/>
        </w:rPr>
      </w:pPr>
      <w:r>
        <w:rPr/>
        <w:t>control of biodistribution once. SLNs delivery can be an innovative way to administer molecules into the target site in a controlled manner by possibly overcoming or alleviating</w:t>
      </w:r>
      <w:r>
        <w:rPr>
          <w:spacing w:val="40"/>
        </w:rPr>
        <w:t> </w:t>
      </w:r>
      <w:r>
        <w:rPr/>
        <w:t>the solubility, permeability and toxicity problems associated with the</w:t>
      </w:r>
      <w:r>
        <w:rPr>
          <w:spacing w:val="-4"/>
        </w:rPr>
        <w:t> </w:t>
      </w:r>
      <w:r>
        <w:rPr/>
        <w:t>respective drug</w:t>
      </w:r>
      <w:r>
        <w:rPr>
          <w:spacing w:val="-2"/>
        </w:rPr>
        <w:t> </w:t>
      </w:r>
      <w:r>
        <w:rPr/>
        <w:t>molecules. High physical stability</w:t>
      </w:r>
      <w:r>
        <w:rPr>
          <w:spacing w:val="-5"/>
        </w:rPr>
        <w:t> </w:t>
      </w:r>
      <w:r>
        <w:rPr/>
        <w:t>of these</w:t>
      </w:r>
      <w:r>
        <w:rPr>
          <w:spacing w:val="-3"/>
        </w:rPr>
        <w:t> </w:t>
      </w:r>
      <w:r>
        <w:rPr/>
        <w:t>systems</w:t>
      </w:r>
      <w:r>
        <w:rPr>
          <w:spacing w:val="-1"/>
        </w:rPr>
        <w:t> </w:t>
      </w:r>
      <w:r>
        <w:rPr/>
        <w:t>is</w:t>
      </w:r>
      <w:r>
        <w:rPr>
          <w:spacing w:val="-1"/>
        </w:rPr>
        <w:t> </w:t>
      </w:r>
      <w:r>
        <w:rPr/>
        <w:t>another</w:t>
      </w:r>
      <w:r>
        <w:rPr>
          <w:spacing w:val="-1"/>
        </w:rPr>
        <w:t> </w:t>
      </w:r>
      <w:r>
        <w:rPr/>
        <w:t>advantage. On</w:t>
      </w:r>
      <w:r>
        <w:rPr>
          <w:spacing w:val="-1"/>
        </w:rPr>
        <w:t> </w:t>
      </w:r>
      <w:r>
        <w:rPr/>
        <w:t>the</w:t>
      </w:r>
      <w:r>
        <w:rPr>
          <w:spacing w:val="-3"/>
        </w:rPr>
        <w:t> </w:t>
      </w:r>
      <w:r>
        <w:rPr/>
        <w:t>other</w:t>
      </w:r>
      <w:r>
        <w:rPr>
          <w:spacing w:val="-1"/>
        </w:rPr>
        <w:t> </w:t>
      </w:r>
      <w:r>
        <w:rPr/>
        <w:t>hand</w:t>
      </w:r>
      <w:r>
        <w:rPr>
          <w:spacing w:val="-4"/>
        </w:rPr>
        <w:t> </w:t>
      </w:r>
      <w:r>
        <w:rPr/>
        <w:t>the</w:t>
      </w:r>
      <w:r>
        <w:rPr>
          <w:spacing w:val="-3"/>
        </w:rPr>
        <w:t> </w:t>
      </w:r>
      <w:r>
        <w:rPr/>
        <w:t>use of solid lipids as matrix material for drug delivery is well known from lipid pellets for oral drug delivery (Runge S et al., 1996). So SLNs is a new era technology which has been taken over by</w:t>
      </w:r>
      <w:r>
        <w:rPr>
          <w:spacing w:val="-1"/>
        </w:rPr>
        <w:t> </w:t>
      </w:r>
      <w:r>
        <w:rPr/>
        <w:t>the pharmaceutical industry. The possibility</w:t>
      </w:r>
      <w:r>
        <w:rPr>
          <w:spacing w:val="-1"/>
        </w:rPr>
        <w:t> </w:t>
      </w:r>
      <w:r>
        <w:rPr/>
        <w:t>of incorporating both the lipophillic and hydrophilic molecules and the possibility of the several administration make the SLNs delivery system all the more promising. SLNs will</w:t>
      </w:r>
      <w:r>
        <w:rPr>
          <w:spacing w:val="40"/>
        </w:rPr>
        <w:t> </w:t>
      </w:r>
      <w:r>
        <w:rPr/>
        <w:t>open a new</w:t>
      </w:r>
      <w:r>
        <w:rPr>
          <w:spacing w:val="-3"/>
        </w:rPr>
        <w:t> </w:t>
      </w:r>
      <w:r>
        <w:rPr/>
        <w:t>channel for an effective delivery</w:t>
      </w:r>
      <w:r>
        <w:rPr>
          <w:spacing w:val="-2"/>
        </w:rPr>
        <w:t> </w:t>
      </w:r>
      <w:r>
        <w:rPr/>
        <w:t>of</w:t>
      </w:r>
      <w:r>
        <w:rPr>
          <w:spacing w:val="-2"/>
        </w:rPr>
        <w:t> </w:t>
      </w:r>
      <w:r>
        <w:rPr/>
        <w:t>a vast variety of drug molecules including analgesics, antitubercular, anticancerous, antiaging, antianxiety, antibiotics, and</w:t>
      </w:r>
      <w:r>
        <w:rPr>
          <w:spacing w:val="40"/>
        </w:rPr>
        <w:t> </w:t>
      </w:r>
      <w:r>
        <w:rPr/>
        <w:t>antiviral agents to the target site</w:t>
      </w:r>
      <w:r>
        <w:rPr>
          <w:b/>
        </w:rPr>
        <w:t>.</w:t>
      </w:r>
    </w:p>
    <w:p>
      <w:pPr>
        <w:spacing w:line="183" w:lineRule="exact" w:before="6"/>
        <w:ind w:left="141" w:right="0" w:firstLine="0"/>
        <w:jc w:val="left"/>
        <w:rPr>
          <w:b/>
          <w:sz w:val="16"/>
        </w:rPr>
      </w:pPr>
      <w:r>
        <w:rPr>
          <w:b/>
          <w:spacing w:val="-2"/>
          <w:sz w:val="16"/>
        </w:rPr>
        <w:t>REFERENCES</w:t>
      </w:r>
    </w:p>
    <w:p>
      <w:pPr>
        <w:pStyle w:val="ListParagraph"/>
        <w:numPr>
          <w:ilvl w:val="0"/>
          <w:numId w:val="4"/>
        </w:numPr>
        <w:tabs>
          <w:tab w:pos="432" w:val="left" w:leader="none"/>
        </w:tabs>
        <w:spacing w:line="240" w:lineRule="auto" w:before="0" w:after="0"/>
        <w:ind w:left="141" w:right="42" w:firstLine="0"/>
        <w:jc w:val="both"/>
        <w:rPr>
          <w:sz w:val="16"/>
        </w:rPr>
      </w:pPr>
      <w:r>
        <w:rPr>
          <w:sz w:val="16"/>
        </w:rPr>
        <w:t>Liversidge GG, Cundy KC. Particle size reduction for improvement of</w:t>
      </w:r>
      <w:r>
        <w:rPr>
          <w:spacing w:val="40"/>
          <w:sz w:val="16"/>
        </w:rPr>
        <w:t> </w:t>
      </w:r>
      <w:r>
        <w:rPr>
          <w:sz w:val="16"/>
        </w:rPr>
        <w:t>oral bioavailability of hydrophobic drugs: Absolute oral bioavailability of</w:t>
      </w:r>
      <w:r>
        <w:rPr>
          <w:spacing w:val="40"/>
          <w:sz w:val="16"/>
        </w:rPr>
        <w:t> </w:t>
      </w:r>
      <w:r>
        <w:rPr>
          <w:sz w:val="16"/>
        </w:rPr>
        <w:t>nanocrystallined danazol in beagle dogs. Int J Pharm 1995; 125:91-97.</w:t>
      </w:r>
    </w:p>
    <w:p>
      <w:pPr>
        <w:pStyle w:val="ListParagraph"/>
        <w:numPr>
          <w:ilvl w:val="0"/>
          <w:numId w:val="4"/>
        </w:numPr>
        <w:tabs>
          <w:tab w:pos="384" w:val="left" w:leader="none"/>
        </w:tabs>
        <w:spacing w:line="240" w:lineRule="auto" w:before="0" w:after="0"/>
        <w:ind w:left="141" w:right="43" w:firstLine="0"/>
        <w:jc w:val="both"/>
        <w:rPr>
          <w:sz w:val="16"/>
        </w:rPr>
      </w:pPr>
      <w:r>
        <w:rPr>
          <w:sz w:val="16"/>
        </w:rPr>
        <w:t>Chowdary KPR, Rao AS. Nanoparticles as drug carriers. Indian Drugs</w:t>
      </w:r>
      <w:r>
        <w:rPr>
          <w:spacing w:val="40"/>
          <w:sz w:val="16"/>
        </w:rPr>
        <w:t> </w:t>
      </w:r>
      <w:r>
        <w:rPr>
          <w:sz w:val="16"/>
        </w:rPr>
        <w:t>1997;</w:t>
      </w:r>
      <w:r>
        <w:rPr>
          <w:spacing w:val="-7"/>
          <w:sz w:val="16"/>
        </w:rPr>
        <w:t> </w:t>
      </w:r>
      <w:r>
        <w:rPr>
          <w:sz w:val="16"/>
        </w:rPr>
        <w:t>34(10):549-556.</w:t>
      </w:r>
    </w:p>
    <w:p>
      <w:pPr>
        <w:pStyle w:val="ListParagraph"/>
        <w:numPr>
          <w:ilvl w:val="0"/>
          <w:numId w:val="4"/>
        </w:numPr>
        <w:tabs>
          <w:tab w:pos="375" w:val="left" w:leader="none"/>
        </w:tabs>
        <w:spacing w:line="240" w:lineRule="auto" w:before="0" w:after="0"/>
        <w:ind w:left="141" w:right="40" w:firstLine="0"/>
        <w:jc w:val="both"/>
        <w:rPr>
          <w:sz w:val="16"/>
        </w:rPr>
      </w:pPr>
      <w:r>
        <w:rPr>
          <w:sz w:val="16"/>
        </w:rPr>
        <w:t>Bocca C, Caputo O, Cavalli R, Gabriel L, Miglietta A, and Gasco MR.</w:t>
      </w:r>
      <w:r>
        <w:rPr>
          <w:spacing w:val="40"/>
          <w:sz w:val="16"/>
        </w:rPr>
        <w:t> </w:t>
      </w:r>
      <w:r>
        <w:rPr>
          <w:sz w:val="16"/>
        </w:rPr>
        <w:t>Phagocytic uptake of fluorescent stealth and non-stealth solid lipid</w:t>
      </w:r>
      <w:r>
        <w:rPr>
          <w:spacing w:val="40"/>
          <w:sz w:val="16"/>
        </w:rPr>
        <w:t> </w:t>
      </w:r>
      <w:r>
        <w:rPr>
          <w:sz w:val="16"/>
        </w:rPr>
        <w:t>nanoparticles. Int. J. Pharm. 175: 185-193 (1998).</w:t>
      </w:r>
    </w:p>
    <w:p>
      <w:pPr>
        <w:pStyle w:val="ListParagraph"/>
        <w:numPr>
          <w:ilvl w:val="0"/>
          <w:numId w:val="4"/>
        </w:numPr>
        <w:tabs>
          <w:tab w:pos="365" w:val="left" w:leader="none"/>
        </w:tabs>
        <w:spacing w:line="240" w:lineRule="auto" w:before="0" w:after="0"/>
        <w:ind w:left="141" w:right="43" w:firstLine="0"/>
        <w:jc w:val="both"/>
        <w:rPr>
          <w:sz w:val="16"/>
        </w:rPr>
      </w:pPr>
      <w:r>
        <w:rPr>
          <w:sz w:val="16"/>
        </w:rPr>
        <w:t>Jumaa M, Muller BW. Lipid emulsions as a novel system to reduce the</w:t>
      </w:r>
      <w:r>
        <w:rPr>
          <w:spacing w:val="40"/>
          <w:sz w:val="16"/>
        </w:rPr>
        <w:t> </w:t>
      </w:r>
      <w:r>
        <w:rPr>
          <w:sz w:val="16"/>
        </w:rPr>
        <w:t>hemolytic activity of lytic agents: Mechanism of protective effect. Eur J</w:t>
      </w:r>
      <w:r>
        <w:rPr>
          <w:spacing w:val="40"/>
          <w:sz w:val="16"/>
        </w:rPr>
        <w:t> </w:t>
      </w:r>
      <w:r>
        <w:rPr>
          <w:sz w:val="16"/>
        </w:rPr>
        <w:t>Pharm Sci 2000;9:285-290.</w:t>
      </w:r>
    </w:p>
    <w:p>
      <w:pPr>
        <w:pStyle w:val="ListParagraph"/>
        <w:numPr>
          <w:ilvl w:val="0"/>
          <w:numId w:val="4"/>
        </w:numPr>
        <w:tabs>
          <w:tab w:pos="384" w:val="left" w:leader="none"/>
        </w:tabs>
        <w:spacing w:line="244" w:lineRule="auto" w:before="0" w:after="0"/>
        <w:ind w:left="141" w:right="40" w:firstLine="0"/>
        <w:jc w:val="both"/>
        <w:rPr>
          <w:sz w:val="16"/>
        </w:rPr>
      </w:pPr>
      <w:r>
        <w:rPr>
          <w:sz w:val="16"/>
        </w:rPr>
        <w:t>Cavalli R, Caputo O, Gasco MR. Solid lipospheres of doxorubicin and</w:t>
      </w:r>
      <w:r>
        <w:rPr>
          <w:spacing w:val="40"/>
          <w:sz w:val="16"/>
        </w:rPr>
        <w:t> </w:t>
      </w:r>
      <w:r>
        <w:rPr>
          <w:sz w:val="16"/>
        </w:rPr>
        <w:t>idarubicin. Int J Pharm 1993;89:R9-R12.</w:t>
      </w:r>
    </w:p>
    <w:p>
      <w:pPr>
        <w:pStyle w:val="ListParagraph"/>
        <w:numPr>
          <w:ilvl w:val="0"/>
          <w:numId w:val="4"/>
        </w:numPr>
        <w:tabs>
          <w:tab w:pos="451" w:val="left" w:leader="none"/>
        </w:tabs>
        <w:spacing w:line="240" w:lineRule="auto" w:before="0" w:after="0"/>
        <w:ind w:left="141" w:right="40" w:firstLine="0"/>
        <w:jc w:val="both"/>
        <w:rPr>
          <w:sz w:val="16"/>
        </w:rPr>
      </w:pPr>
      <w:r>
        <w:rPr>
          <w:sz w:val="16"/>
        </w:rPr>
        <w:t>Miglietta A. et al. Cellular uptake and cytotoxicity of solid lipid</w:t>
      </w:r>
      <w:r>
        <w:rPr>
          <w:spacing w:val="40"/>
          <w:sz w:val="16"/>
        </w:rPr>
        <w:t> </w:t>
      </w:r>
      <w:r>
        <w:rPr>
          <w:sz w:val="16"/>
        </w:rPr>
        <w:t>nanospheres (SLN) incorporating doxorubicin or paclitaxel. Int. J. Pharm.</w:t>
      </w:r>
      <w:r>
        <w:rPr>
          <w:spacing w:val="40"/>
          <w:sz w:val="16"/>
        </w:rPr>
        <w:t> </w:t>
      </w:r>
      <w:r>
        <w:rPr>
          <w:sz w:val="16"/>
        </w:rPr>
        <w:t>210: 61 – 67 (2000).</w:t>
      </w:r>
    </w:p>
    <w:p>
      <w:pPr>
        <w:pStyle w:val="ListParagraph"/>
        <w:numPr>
          <w:ilvl w:val="0"/>
          <w:numId w:val="4"/>
        </w:numPr>
        <w:tabs>
          <w:tab w:pos="403" w:val="left" w:leader="none"/>
        </w:tabs>
        <w:spacing w:line="240" w:lineRule="auto" w:before="0" w:after="0"/>
        <w:ind w:left="141" w:right="42" w:firstLine="0"/>
        <w:jc w:val="both"/>
        <w:rPr>
          <w:sz w:val="16"/>
        </w:rPr>
      </w:pPr>
      <w:r>
        <w:rPr>
          <w:sz w:val="16"/>
        </w:rPr>
        <w:t>Müller RH, Mäder, and Gohla S. Solid lipid nanoparticles (SLN) for</w:t>
      </w:r>
      <w:r>
        <w:rPr>
          <w:spacing w:val="40"/>
          <w:sz w:val="16"/>
        </w:rPr>
        <w:t> </w:t>
      </w:r>
      <w:r>
        <w:rPr>
          <w:sz w:val="16"/>
        </w:rPr>
        <w:t>controlled</w:t>
      </w:r>
      <w:r>
        <w:rPr>
          <w:spacing w:val="-3"/>
          <w:sz w:val="16"/>
        </w:rPr>
        <w:t> </w:t>
      </w:r>
      <w:r>
        <w:rPr>
          <w:sz w:val="16"/>
        </w:rPr>
        <w:t>drug</w:t>
      </w:r>
      <w:r>
        <w:rPr>
          <w:spacing w:val="-3"/>
          <w:sz w:val="16"/>
        </w:rPr>
        <w:t> </w:t>
      </w:r>
      <w:r>
        <w:rPr>
          <w:sz w:val="16"/>
        </w:rPr>
        <w:t>delivery</w:t>
      </w:r>
      <w:r>
        <w:rPr>
          <w:spacing w:val="-3"/>
          <w:sz w:val="16"/>
        </w:rPr>
        <w:t> </w:t>
      </w:r>
      <w:r>
        <w:rPr>
          <w:sz w:val="16"/>
        </w:rPr>
        <w:t>– a review of</w:t>
      </w:r>
      <w:r>
        <w:rPr>
          <w:spacing w:val="-5"/>
          <w:sz w:val="16"/>
        </w:rPr>
        <w:t> </w:t>
      </w:r>
      <w:r>
        <w:rPr>
          <w:sz w:val="16"/>
        </w:rPr>
        <w:t>the</w:t>
      </w:r>
      <w:r>
        <w:rPr>
          <w:spacing w:val="-3"/>
          <w:sz w:val="16"/>
        </w:rPr>
        <w:t> </w:t>
      </w:r>
      <w:r>
        <w:rPr>
          <w:sz w:val="16"/>
        </w:rPr>
        <w:t>state</w:t>
      </w:r>
      <w:r>
        <w:rPr>
          <w:spacing w:val="-3"/>
          <w:sz w:val="16"/>
        </w:rPr>
        <w:t> </w:t>
      </w:r>
      <w:r>
        <w:rPr>
          <w:sz w:val="16"/>
        </w:rPr>
        <w:t>of</w:t>
      </w:r>
      <w:r>
        <w:rPr>
          <w:spacing w:val="-5"/>
          <w:sz w:val="16"/>
        </w:rPr>
        <w:t> </w:t>
      </w:r>
      <w:r>
        <w:rPr>
          <w:sz w:val="16"/>
        </w:rPr>
        <w:t>the</w:t>
      </w:r>
      <w:r>
        <w:rPr>
          <w:spacing w:val="-3"/>
          <w:sz w:val="16"/>
        </w:rPr>
        <w:t> </w:t>
      </w:r>
      <w:r>
        <w:rPr>
          <w:sz w:val="16"/>
        </w:rPr>
        <w:t>art.</w:t>
      </w:r>
      <w:r>
        <w:rPr>
          <w:spacing w:val="-1"/>
          <w:sz w:val="16"/>
        </w:rPr>
        <w:t> </w:t>
      </w:r>
      <w:r>
        <w:rPr>
          <w:sz w:val="16"/>
        </w:rPr>
        <w:t>European</w:t>
      </w:r>
      <w:r>
        <w:rPr>
          <w:spacing w:val="-3"/>
          <w:sz w:val="16"/>
        </w:rPr>
        <w:t> </w:t>
      </w:r>
      <w:r>
        <w:rPr>
          <w:sz w:val="16"/>
        </w:rPr>
        <w:t>J.</w:t>
      </w:r>
      <w:r>
        <w:rPr>
          <w:spacing w:val="-1"/>
          <w:sz w:val="16"/>
        </w:rPr>
        <w:t> </w:t>
      </w:r>
      <w:r>
        <w:rPr>
          <w:sz w:val="16"/>
        </w:rPr>
        <w:t>Pharm.</w:t>
      </w:r>
      <w:r>
        <w:rPr>
          <w:spacing w:val="40"/>
          <w:sz w:val="16"/>
        </w:rPr>
        <w:t> </w:t>
      </w:r>
      <w:r>
        <w:rPr>
          <w:sz w:val="16"/>
        </w:rPr>
        <w:t>&amp; Biopharm. 50: 161-177 (2000).</w:t>
      </w:r>
    </w:p>
    <w:p>
      <w:pPr>
        <w:pStyle w:val="ListParagraph"/>
        <w:numPr>
          <w:ilvl w:val="0"/>
          <w:numId w:val="4"/>
        </w:numPr>
        <w:tabs>
          <w:tab w:pos="384" w:val="left" w:leader="none"/>
        </w:tabs>
        <w:spacing w:line="240" w:lineRule="auto" w:before="0" w:after="0"/>
        <w:ind w:left="141" w:right="43" w:firstLine="0"/>
        <w:jc w:val="both"/>
        <w:rPr>
          <w:sz w:val="16"/>
        </w:rPr>
      </w:pPr>
      <w:r>
        <w:rPr>
          <w:sz w:val="16"/>
        </w:rPr>
        <w:t>Chowdary KPR, Rao AS, Nanoparticles as drug carriers. Indian Drugs</w:t>
      </w:r>
      <w:r>
        <w:rPr>
          <w:spacing w:val="40"/>
          <w:sz w:val="16"/>
        </w:rPr>
        <w:t> </w:t>
      </w:r>
      <w:r>
        <w:rPr>
          <w:sz w:val="16"/>
        </w:rPr>
        <w:t>1997;</w:t>
      </w:r>
      <w:r>
        <w:rPr>
          <w:spacing w:val="-7"/>
          <w:sz w:val="16"/>
        </w:rPr>
        <w:t> </w:t>
      </w:r>
      <w:r>
        <w:rPr>
          <w:sz w:val="16"/>
        </w:rPr>
        <w:t>34(10):549-56.</w:t>
      </w:r>
    </w:p>
    <w:p>
      <w:pPr>
        <w:pStyle w:val="ListParagraph"/>
        <w:numPr>
          <w:ilvl w:val="0"/>
          <w:numId w:val="4"/>
        </w:numPr>
        <w:tabs>
          <w:tab w:pos="355" w:val="left" w:leader="none"/>
        </w:tabs>
        <w:spacing w:line="240" w:lineRule="auto" w:before="0" w:after="0"/>
        <w:ind w:left="141" w:right="43" w:firstLine="0"/>
        <w:jc w:val="both"/>
        <w:rPr>
          <w:sz w:val="16"/>
        </w:rPr>
      </w:pPr>
      <w:r>
        <w:rPr>
          <w:sz w:val="16"/>
        </w:rPr>
        <w:t>Dunn RL. The atrigel drug delivery system. In: Rathbone MJ, Hadgraft J</w:t>
      </w:r>
      <w:r>
        <w:rPr>
          <w:spacing w:val="40"/>
          <w:sz w:val="16"/>
        </w:rPr>
        <w:t> </w:t>
      </w:r>
      <w:r>
        <w:rPr>
          <w:sz w:val="16"/>
        </w:rPr>
        <w:t>and Roberts M, eds. Modified-Release Drug Delivery Technology. New</w:t>
      </w:r>
      <w:r>
        <w:rPr>
          <w:spacing w:val="40"/>
          <w:sz w:val="16"/>
        </w:rPr>
        <w:t> </w:t>
      </w:r>
      <w:r>
        <w:rPr>
          <w:sz w:val="16"/>
        </w:rPr>
        <w:t>York. NY: Marcel Dekker. Inc, 2002, 647-655.</w:t>
      </w:r>
    </w:p>
    <w:p>
      <w:pPr>
        <w:spacing w:line="240" w:lineRule="auto" w:before="0"/>
        <w:ind w:left="141" w:right="43" w:firstLine="0"/>
        <w:jc w:val="both"/>
        <w:rPr>
          <w:sz w:val="16"/>
        </w:rPr>
      </w:pPr>
      <w:r>
        <w:rPr>
          <w:sz w:val="16"/>
        </w:rPr>
        <w:t>10 .Castelli F, Puglia C, SArpietro MG, Rizza L and Bonina F.</w:t>
      </w:r>
      <w:r>
        <w:rPr>
          <w:spacing w:val="40"/>
          <w:sz w:val="16"/>
        </w:rPr>
        <w:t> </w:t>
      </w:r>
      <w:r>
        <w:rPr>
          <w:sz w:val="16"/>
        </w:rPr>
        <w:t>Characterization of indomethacin-loaded nanoparticles by differential</w:t>
      </w:r>
      <w:r>
        <w:rPr>
          <w:spacing w:val="40"/>
          <w:sz w:val="16"/>
        </w:rPr>
        <w:t> </w:t>
      </w:r>
      <w:r>
        <w:rPr>
          <w:sz w:val="16"/>
        </w:rPr>
        <w:t>scanning calorimetry. Int J Pharm, 304, 2005, 231-238.</w:t>
      </w:r>
    </w:p>
    <w:p>
      <w:pPr>
        <w:pStyle w:val="ListParagraph"/>
        <w:numPr>
          <w:ilvl w:val="0"/>
          <w:numId w:val="5"/>
        </w:numPr>
        <w:tabs>
          <w:tab w:pos="447" w:val="left" w:leader="none"/>
        </w:tabs>
        <w:spacing w:line="240" w:lineRule="auto" w:before="0" w:after="0"/>
        <w:ind w:left="141" w:right="44" w:firstLine="0"/>
        <w:jc w:val="both"/>
        <w:rPr>
          <w:sz w:val="16"/>
        </w:rPr>
      </w:pPr>
      <w:r>
        <w:rPr>
          <w:sz w:val="16"/>
        </w:rPr>
        <w:t>Cavalli R., Marengo E, Rodriguez L, and Gasco, MR. Effects of some</w:t>
      </w:r>
      <w:r>
        <w:rPr>
          <w:spacing w:val="40"/>
          <w:sz w:val="16"/>
        </w:rPr>
        <w:t> </w:t>
      </w:r>
      <w:r>
        <w:rPr>
          <w:sz w:val="16"/>
        </w:rPr>
        <w:t>experimental factors on the production process of solid lipid nanoparticles.</w:t>
      </w:r>
      <w:r>
        <w:rPr>
          <w:spacing w:val="40"/>
          <w:sz w:val="16"/>
        </w:rPr>
        <w:t> </w:t>
      </w:r>
      <w:r>
        <w:rPr>
          <w:sz w:val="16"/>
        </w:rPr>
        <w:t>European J. Pharm. &amp; Biopharm. 43: 110-115 (1996).</w:t>
      </w:r>
    </w:p>
    <w:p>
      <w:pPr>
        <w:pStyle w:val="ListParagraph"/>
        <w:numPr>
          <w:ilvl w:val="0"/>
          <w:numId w:val="5"/>
        </w:numPr>
        <w:tabs>
          <w:tab w:pos="437" w:val="left" w:leader="none"/>
        </w:tabs>
        <w:spacing w:line="240" w:lineRule="auto" w:before="0" w:after="0"/>
        <w:ind w:left="141" w:right="40" w:firstLine="0"/>
        <w:jc w:val="both"/>
        <w:rPr>
          <w:sz w:val="16"/>
        </w:rPr>
      </w:pPr>
      <w:r>
        <w:rPr>
          <w:sz w:val="16"/>
        </w:rPr>
        <w:t>Müller RH, Maassen S, Schwarz C, and Mehnert, W. Solid lipid</w:t>
      </w:r>
      <w:r>
        <w:rPr>
          <w:spacing w:val="40"/>
          <w:sz w:val="16"/>
        </w:rPr>
        <w:t> </w:t>
      </w:r>
      <w:r>
        <w:rPr>
          <w:sz w:val="16"/>
        </w:rPr>
        <w:t>nanoparticles (SLN) as potential carrier for human use: interaction with</w:t>
      </w:r>
      <w:r>
        <w:rPr>
          <w:spacing w:val="40"/>
          <w:sz w:val="16"/>
        </w:rPr>
        <w:t> </w:t>
      </w:r>
      <w:r>
        <w:rPr>
          <w:sz w:val="16"/>
        </w:rPr>
        <w:t>human granulocytes. J. Contr. Release 47: 261-269 (1997).</w:t>
      </w:r>
    </w:p>
    <w:p>
      <w:pPr>
        <w:pStyle w:val="ListParagraph"/>
        <w:numPr>
          <w:ilvl w:val="0"/>
          <w:numId w:val="5"/>
        </w:numPr>
        <w:tabs>
          <w:tab w:pos="433" w:val="left" w:leader="none"/>
        </w:tabs>
        <w:spacing w:line="240" w:lineRule="auto" w:before="0" w:after="0"/>
        <w:ind w:left="141" w:right="42" w:firstLine="0"/>
        <w:jc w:val="both"/>
        <w:rPr>
          <w:sz w:val="16"/>
        </w:rPr>
      </w:pPr>
      <w:r>
        <w:rPr>
          <w:sz w:val="16"/>
        </w:rPr>
        <w:t>Muhlen AZ, Schwarz C, Mehnert W. Solid lipid nanoparticles for</w:t>
      </w:r>
      <w:r>
        <w:rPr>
          <w:spacing w:val="40"/>
          <w:sz w:val="16"/>
        </w:rPr>
        <w:t> </w:t>
      </w:r>
      <w:r>
        <w:rPr>
          <w:sz w:val="16"/>
        </w:rPr>
        <w:t>controlled drug delivery-</w:t>
      </w:r>
      <w:r>
        <w:rPr>
          <w:spacing w:val="-1"/>
          <w:sz w:val="16"/>
        </w:rPr>
        <w:t> </w:t>
      </w:r>
      <w:r>
        <w:rPr>
          <w:sz w:val="16"/>
        </w:rPr>
        <w:t>drug</w:t>
      </w:r>
      <w:r>
        <w:rPr>
          <w:spacing w:val="-4"/>
          <w:sz w:val="16"/>
        </w:rPr>
        <w:t> </w:t>
      </w:r>
      <w:r>
        <w:rPr>
          <w:sz w:val="16"/>
        </w:rPr>
        <w:t>release</w:t>
      </w:r>
      <w:r>
        <w:rPr>
          <w:spacing w:val="-4"/>
          <w:sz w:val="16"/>
        </w:rPr>
        <w:t> </w:t>
      </w:r>
      <w:r>
        <w:rPr>
          <w:sz w:val="16"/>
        </w:rPr>
        <w:t>and</w:t>
      </w:r>
      <w:r>
        <w:rPr>
          <w:spacing w:val="-4"/>
          <w:sz w:val="16"/>
        </w:rPr>
        <w:t> </w:t>
      </w:r>
      <w:r>
        <w:rPr>
          <w:sz w:val="16"/>
        </w:rPr>
        <w:t>release mechanism, Eur.</w:t>
      </w:r>
      <w:r>
        <w:rPr>
          <w:spacing w:val="-2"/>
          <w:sz w:val="16"/>
        </w:rPr>
        <w:t> </w:t>
      </w:r>
      <w:r>
        <w:rPr>
          <w:sz w:val="16"/>
        </w:rPr>
        <w:t>J.</w:t>
      </w:r>
      <w:r>
        <w:rPr>
          <w:spacing w:val="-2"/>
          <w:sz w:val="16"/>
        </w:rPr>
        <w:t> </w:t>
      </w:r>
      <w:r>
        <w:rPr>
          <w:sz w:val="16"/>
        </w:rPr>
        <w:t>Pharm.</w:t>
      </w:r>
      <w:r>
        <w:rPr>
          <w:spacing w:val="40"/>
          <w:sz w:val="16"/>
        </w:rPr>
        <w:t> </w:t>
      </w:r>
      <w:r>
        <w:rPr>
          <w:sz w:val="16"/>
        </w:rPr>
        <w:t>Biophrm.</w:t>
      </w:r>
      <w:r>
        <w:rPr>
          <w:spacing w:val="-7"/>
          <w:sz w:val="16"/>
        </w:rPr>
        <w:t> </w:t>
      </w:r>
      <w:r>
        <w:rPr>
          <w:sz w:val="16"/>
        </w:rPr>
        <w:t>45,1998;149-155.</w:t>
      </w:r>
    </w:p>
    <w:p>
      <w:pPr>
        <w:pStyle w:val="ListParagraph"/>
        <w:numPr>
          <w:ilvl w:val="0"/>
          <w:numId w:val="5"/>
        </w:numPr>
        <w:tabs>
          <w:tab w:pos="428" w:val="left" w:leader="none"/>
        </w:tabs>
        <w:spacing w:line="240" w:lineRule="auto" w:before="97" w:after="0"/>
        <w:ind w:left="141" w:right="136" w:firstLine="0"/>
        <w:jc w:val="both"/>
        <w:rPr>
          <w:sz w:val="16"/>
        </w:rPr>
      </w:pPr>
      <w:r>
        <w:rPr/>
        <w:br w:type="column"/>
      </w:r>
      <w:r>
        <w:rPr>
          <w:sz w:val="16"/>
        </w:rPr>
        <w:t>Radtke M and Muller RH. Nanostructured lipid drug carriers. New</w:t>
      </w:r>
      <w:r>
        <w:rPr>
          <w:spacing w:val="40"/>
          <w:sz w:val="16"/>
        </w:rPr>
        <w:t> </w:t>
      </w:r>
      <w:r>
        <w:rPr>
          <w:sz w:val="16"/>
        </w:rPr>
        <w:t>Drugs, 2, 2001, 48-52.</w:t>
      </w:r>
    </w:p>
    <w:p>
      <w:pPr>
        <w:pStyle w:val="ListParagraph"/>
        <w:numPr>
          <w:ilvl w:val="0"/>
          <w:numId w:val="5"/>
        </w:numPr>
        <w:tabs>
          <w:tab w:pos="409" w:val="left" w:leader="none"/>
        </w:tabs>
        <w:spacing w:line="240" w:lineRule="auto" w:before="1" w:after="0"/>
        <w:ind w:left="141" w:right="133" w:firstLine="0"/>
        <w:jc w:val="both"/>
        <w:rPr>
          <w:sz w:val="16"/>
        </w:rPr>
      </w:pPr>
      <w:r>
        <w:rPr>
          <w:sz w:val="16"/>
        </w:rPr>
        <w:t>Solid Lipid Nanoparticles: A Promising Drug Delivery Technology S.</w:t>
      </w:r>
      <w:r>
        <w:rPr>
          <w:spacing w:val="40"/>
          <w:sz w:val="16"/>
        </w:rPr>
        <w:t> </w:t>
      </w:r>
      <w:r>
        <w:rPr>
          <w:sz w:val="16"/>
        </w:rPr>
        <w:t>Pragati S. Kuldeep S. Ashok, M. Satheesh International Journal of</w:t>
      </w:r>
      <w:r>
        <w:rPr>
          <w:spacing w:val="40"/>
          <w:sz w:val="16"/>
        </w:rPr>
        <w:t> </w:t>
      </w:r>
      <w:r>
        <w:rPr>
          <w:sz w:val="16"/>
        </w:rPr>
        <w:t>Pharmaceutical Sciences and Nanotechnology Volume 2 • Issue 2 • July –</w:t>
      </w:r>
      <w:r>
        <w:rPr>
          <w:spacing w:val="40"/>
          <w:sz w:val="16"/>
        </w:rPr>
        <w:t> </w:t>
      </w:r>
      <w:r>
        <w:rPr>
          <w:sz w:val="16"/>
        </w:rPr>
        <w:t>September</w:t>
      </w:r>
      <w:r>
        <w:rPr>
          <w:spacing w:val="-5"/>
          <w:sz w:val="16"/>
        </w:rPr>
        <w:t> </w:t>
      </w:r>
      <w:r>
        <w:rPr>
          <w:sz w:val="16"/>
        </w:rPr>
        <w:t>2009.509-516.</w:t>
      </w:r>
    </w:p>
    <w:p>
      <w:pPr>
        <w:spacing w:before="0"/>
        <w:ind w:left="141" w:right="133" w:firstLine="0"/>
        <w:jc w:val="both"/>
        <w:rPr>
          <w:sz w:val="16"/>
        </w:rPr>
      </w:pPr>
      <w:r>
        <w:rPr>
          <w:sz w:val="16"/>
        </w:rPr>
        <w:t>16</w:t>
      </w:r>
      <w:r>
        <w:rPr>
          <w:spacing w:val="40"/>
          <w:sz w:val="16"/>
        </w:rPr>
        <w:t> </w:t>
      </w:r>
      <w:r>
        <w:rPr>
          <w:sz w:val="16"/>
        </w:rPr>
        <w:t>Green PH and Glickman RM. Intestinal lipoprotein metabolism. J Lipid</w:t>
      </w:r>
      <w:r>
        <w:rPr>
          <w:spacing w:val="40"/>
          <w:sz w:val="16"/>
        </w:rPr>
        <w:t> </w:t>
      </w:r>
      <w:r>
        <w:rPr>
          <w:sz w:val="16"/>
        </w:rPr>
        <w:t>Res, 22, 1981, 1153-1173.</w:t>
      </w:r>
    </w:p>
    <w:p>
      <w:pPr>
        <w:pStyle w:val="ListParagraph"/>
        <w:numPr>
          <w:ilvl w:val="0"/>
          <w:numId w:val="6"/>
        </w:numPr>
        <w:tabs>
          <w:tab w:pos="413" w:val="left" w:leader="none"/>
        </w:tabs>
        <w:spacing w:line="240" w:lineRule="auto" w:before="1" w:after="0"/>
        <w:ind w:left="141" w:right="134" w:firstLine="0"/>
        <w:jc w:val="both"/>
        <w:rPr>
          <w:sz w:val="16"/>
        </w:rPr>
      </w:pPr>
      <w:r>
        <w:rPr>
          <w:sz w:val="16"/>
        </w:rPr>
        <w:t>Feldman EB, Russel BS, Chen R, Johnson J, Forte T and Clark SB.</w:t>
      </w:r>
      <w:r>
        <w:rPr>
          <w:spacing w:val="40"/>
          <w:sz w:val="16"/>
        </w:rPr>
        <w:t> </w:t>
      </w:r>
      <w:r>
        <w:rPr>
          <w:sz w:val="16"/>
        </w:rPr>
        <w:t>Dietary saturated fatty acid content affects</w:t>
      </w:r>
      <w:r>
        <w:rPr>
          <w:spacing w:val="-1"/>
          <w:sz w:val="16"/>
        </w:rPr>
        <w:t> </w:t>
      </w:r>
      <w:r>
        <w:rPr>
          <w:sz w:val="16"/>
        </w:rPr>
        <w:t>lymph lipoproteins: studies</w:t>
      </w:r>
      <w:r>
        <w:rPr>
          <w:spacing w:val="-1"/>
          <w:sz w:val="16"/>
        </w:rPr>
        <w:t> </w:t>
      </w:r>
      <w:r>
        <w:rPr>
          <w:sz w:val="16"/>
        </w:rPr>
        <w:t>in the</w:t>
      </w:r>
      <w:r>
        <w:rPr>
          <w:spacing w:val="40"/>
          <w:sz w:val="16"/>
        </w:rPr>
        <w:t> </w:t>
      </w:r>
      <w:r>
        <w:rPr>
          <w:sz w:val="16"/>
        </w:rPr>
        <w:t>rat. J Lipid Res, 2, 1983, 967-976.</w:t>
      </w:r>
    </w:p>
    <w:p>
      <w:pPr>
        <w:pStyle w:val="ListParagraph"/>
        <w:numPr>
          <w:ilvl w:val="0"/>
          <w:numId w:val="6"/>
        </w:numPr>
        <w:tabs>
          <w:tab w:pos="447" w:val="left" w:leader="none"/>
        </w:tabs>
        <w:spacing w:line="240" w:lineRule="auto" w:before="0" w:after="0"/>
        <w:ind w:left="141" w:right="133" w:firstLine="0"/>
        <w:jc w:val="both"/>
        <w:rPr>
          <w:sz w:val="16"/>
        </w:rPr>
      </w:pPr>
      <w:r>
        <w:rPr>
          <w:sz w:val="16"/>
        </w:rPr>
        <w:t>Hwang KJ and Mauk MR. Fate of lipid vesicles in vivo: a gamma-ray</w:t>
      </w:r>
      <w:r>
        <w:rPr>
          <w:spacing w:val="40"/>
          <w:sz w:val="16"/>
        </w:rPr>
        <w:t> </w:t>
      </w:r>
      <w:r>
        <w:rPr>
          <w:sz w:val="16"/>
        </w:rPr>
        <w:t>perturbed angular correlation study. Proc Natl Acad Sci USA-Biophys, 74,</w:t>
      </w:r>
      <w:r>
        <w:rPr>
          <w:spacing w:val="40"/>
          <w:sz w:val="16"/>
        </w:rPr>
        <w:t> </w:t>
      </w:r>
      <w:r>
        <w:rPr>
          <w:sz w:val="16"/>
        </w:rPr>
        <w:t>1977,</w:t>
      </w:r>
      <w:r>
        <w:rPr>
          <w:spacing w:val="-7"/>
          <w:sz w:val="16"/>
        </w:rPr>
        <w:t> </w:t>
      </w:r>
      <w:r>
        <w:rPr>
          <w:sz w:val="16"/>
        </w:rPr>
        <w:t>4991-4995.</w:t>
      </w:r>
    </w:p>
    <w:p>
      <w:pPr>
        <w:pStyle w:val="ListParagraph"/>
        <w:numPr>
          <w:ilvl w:val="0"/>
          <w:numId w:val="6"/>
        </w:numPr>
        <w:tabs>
          <w:tab w:pos="389" w:val="left" w:leader="none"/>
        </w:tabs>
        <w:spacing w:line="240" w:lineRule="auto" w:before="0" w:after="0"/>
        <w:ind w:left="141" w:right="133" w:firstLine="0"/>
        <w:jc w:val="both"/>
        <w:rPr>
          <w:sz w:val="16"/>
        </w:rPr>
      </w:pPr>
      <w:r>
        <w:rPr>
          <w:sz w:val="16"/>
        </w:rPr>
        <w:t>Dahan A and Hoffman A. Rationalizing the selection of oral lipid based</w:t>
      </w:r>
      <w:r>
        <w:rPr>
          <w:spacing w:val="40"/>
          <w:sz w:val="16"/>
        </w:rPr>
        <w:t> </w:t>
      </w:r>
      <w:r>
        <w:rPr>
          <w:sz w:val="16"/>
        </w:rPr>
        <w:t>drug delivery systems by an in vitro dynamic lipolysis model for improved</w:t>
      </w:r>
      <w:r>
        <w:rPr>
          <w:spacing w:val="40"/>
          <w:sz w:val="16"/>
        </w:rPr>
        <w:t> </w:t>
      </w:r>
      <w:r>
        <w:rPr>
          <w:sz w:val="16"/>
        </w:rPr>
        <w:t>oral bioavailability of</w:t>
      </w:r>
      <w:r>
        <w:rPr>
          <w:spacing w:val="-1"/>
          <w:sz w:val="16"/>
        </w:rPr>
        <w:t> </w:t>
      </w:r>
      <w:r>
        <w:rPr>
          <w:sz w:val="16"/>
        </w:rPr>
        <w:t>poorly water soluble drugs. J Controlled Release, 129,</w:t>
      </w:r>
      <w:r>
        <w:rPr>
          <w:spacing w:val="40"/>
          <w:sz w:val="16"/>
        </w:rPr>
        <w:t> </w:t>
      </w:r>
      <w:r>
        <w:rPr>
          <w:sz w:val="16"/>
        </w:rPr>
        <w:t>2008,</w:t>
      </w:r>
      <w:r>
        <w:rPr>
          <w:spacing w:val="-7"/>
          <w:sz w:val="16"/>
        </w:rPr>
        <w:t> </w:t>
      </w:r>
      <w:r>
        <w:rPr>
          <w:sz w:val="16"/>
        </w:rPr>
        <w:t>1-10.</w:t>
      </w:r>
    </w:p>
    <w:p>
      <w:pPr>
        <w:pStyle w:val="ListParagraph"/>
        <w:numPr>
          <w:ilvl w:val="0"/>
          <w:numId w:val="6"/>
        </w:numPr>
        <w:tabs>
          <w:tab w:pos="389" w:val="left" w:leader="none"/>
        </w:tabs>
        <w:spacing w:line="240" w:lineRule="auto" w:before="0" w:after="0"/>
        <w:ind w:left="141" w:right="139" w:firstLine="0"/>
        <w:jc w:val="both"/>
        <w:rPr>
          <w:sz w:val="16"/>
        </w:rPr>
      </w:pPr>
      <w:r>
        <w:rPr>
          <w:sz w:val="16"/>
        </w:rPr>
        <w:t>Tso P. Gastrointestinal digestion and absorption of</w:t>
      </w:r>
      <w:r>
        <w:rPr>
          <w:spacing w:val="-1"/>
          <w:sz w:val="16"/>
        </w:rPr>
        <w:t> </w:t>
      </w:r>
      <w:r>
        <w:rPr>
          <w:sz w:val="16"/>
        </w:rPr>
        <w:t>lipid. Adv Lipid Res,</w:t>
      </w:r>
      <w:r>
        <w:rPr>
          <w:spacing w:val="40"/>
          <w:sz w:val="16"/>
        </w:rPr>
        <w:t> </w:t>
      </w:r>
      <w:r>
        <w:rPr>
          <w:sz w:val="16"/>
        </w:rPr>
        <w:t>21, 1985, 143-186.</w:t>
      </w:r>
    </w:p>
    <w:p>
      <w:pPr>
        <w:pStyle w:val="ListParagraph"/>
        <w:numPr>
          <w:ilvl w:val="0"/>
          <w:numId w:val="6"/>
        </w:numPr>
        <w:tabs>
          <w:tab w:pos="428" w:val="left" w:leader="none"/>
        </w:tabs>
        <w:spacing w:line="240" w:lineRule="auto" w:before="0" w:after="0"/>
        <w:ind w:left="141" w:right="135" w:firstLine="0"/>
        <w:jc w:val="both"/>
        <w:rPr>
          <w:sz w:val="16"/>
        </w:rPr>
      </w:pPr>
      <w:r>
        <w:rPr>
          <w:sz w:val="16"/>
        </w:rPr>
        <w:t>Constantinides PP and Wasan KM. Lipid formulation strategies for</w:t>
      </w:r>
      <w:r>
        <w:rPr>
          <w:spacing w:val="40"/>
          <w:sz w:val="16"/>
        </w:rPr>
        <w:t> </w:t>
      </w:r>
      <w:r>
        <w:rPr>
          <w:sz w:val="16"/>
        </w:rPr>
        <w:t>enhancing intestinal transport and absorption of p-glycoprotein (p-gp)</w:t>
      </w:r>
      <w:r>
        <w:rPr>
          <w:spacing w:val="40"/>
          <w:sz w:val="16"/>
        </w:rPr>
        <w:t> </w:t>
      </w:r>
      <w:r>
        <w:rPr>
          <w:sz w:val="16"/>
        </w:rPr>
        <w:t>substrate drugs: in vitro/in vivo case studies. J Pharm Sci, 96(2), 2007, 235-</w:t>
      </w:r>
      <w:r>
        <w:rPr>
          <w:spacing w:val="40"/>
          <w:sz w:val="16"/>
        </w:rPr>
        <w:t> </w:t>
      </w:r>
      <w:r>
        <w:rPr>
          <w:spacing w:val="-4"/>
          <w:sz w:val="16"/>
        </w:rPr>
        <w:t>248.</w:t>
      </w:r>
    </w:p>
    <w:p>
      <w:pPr>
        <w:pStyle w:val="ListParagraph"/>
        <w:numPr>
          <w:ilvl w:val="0"/>
          <w:numId w:val="6"/>
        </w:numPr>
        <w:tabs>
          <w:tab w:pos="505" w:val="left" w:leader="none"/>
        </w:tabs>
        <w:spacing w:line="240" w:lineRule="auto" w:before="0" w:after="0"/>
        <w:ind w:left="141" w:right="133" w:firstLine="0"/>
        <w:jc w:val="both"/>
        <w:rPr>
          <w:sz w:val="16"/>
        </w:rPr>
      </w:pPr>
      <w:r>
        <w:rPr>
          <w:sz w:val="16"/>
        </w:rPr>
        <w:t>Charman WN, Porter CJH, Mithani S and Dressman JB.</w:t>
      </w:r>
      <w:r>
        <w:rPr>
          <w:spacing w:val="40"/>
          <w:sz w:val="16"/>
        </w:rPr>
        <w:t> </w:t>
      </w:r>
      <w:r>
        <w:rPr>
          <w:sz w:val="16"/>
        </w:rPr>
        <w:t>Physicochemical and phy siological mechanisms for the effects of food on</w:t>
      </w:r>
      <w:r>
        <w:rPr>
          <w:spacing w:val="40"/>
          <w:sz w:val="16"/>
        </w:rPr>
        <w:t> </w:t>
      </w:r>
      <w:r>
        <w:rPr>
          <w:sz w:val="16"/>
        </w:rPr>
        <w:t>drug absorption: the role of lipids and pH. J Pharm Sci, 86(3), 1997, 269-</w:t>
      </w:r>
      <w:r>
        <w:rPr>
          <w:spacing w:val="40"/>
          <w:sz w:val="16"/>
        </w:rPr>
        <w:t> </w:t>
      </w:r>
      <w:r>
        <w:rPr>
          <w:spacing w:val="-4"/>
          <w:sz w:val="16"/>
        </w:rPr>
        <w:t>282.</w:t>
      </w:r>
    </w:p>
    <w:p>
      <w:pPr>
        <w:pStyle w:val="ListParagraph"/>
        <w:numPr>
          <w:ilvl w:val="0"/>
          <w:numId w:val="6"/>
        </w:numPr>
        <w:tabs>
          <w:tab w:pos="399" w:val="left" w:leader="none"/>
        </w:tabs>
        <w:spacing w:line="240" w:lineRule="auto" w:before="0" w:after="0"/>
        <w:ind w:left="141" w:right="134" w:firstLine="0"/>
        <w:jc w:val="both"/>
        <w:rPr>
          <w:sz w:val="16"/>
        </w:rPr>
      </w:pPr>
      <w:r>
        <w:rPr>
          <w:sz w:val="16"/>
        </w:rPr>
        <w:t>Muller RH, Mehnert W, Lucks JS, Schwarz C, Muhlen A, Weyhers H,</w:t>
      </w:r>
      <w:r>
        <w:rPr>
          <w:spacing w:val="40"/>
          <w:sz w:val="16"/>
        </w:rPr>
        <w:t> </w:t>
      </w:r>
      <w:r>
        <w:rPr>
          <w:sz w:val="16"/>
        </w:rPr>
        <w:t>Freitas C and Ruhl D. Solid lipid nanoparticles (SLN) - An alternative</w:t>
      </w:r>
      <w:r>
        <w:rPr>
          <w:spacing w:val="40"/>
          <w:sz w:val="16"/>
        </w:rPr>
        <w:t> </w:t>
      </w:r>
      <w:r>
        <w:rPr>
          <w:sz w:val="16"/>
        </w:rPr>
        <w:t>colloidal carrier system for controlled drug delivery.</w:t>
      </w:r>
      <w:r>
        <w:rPr>
          <w:spacing w:val="-3"/>
          <w:sz w:val="16"/>
        </w:rPr>
        <w:t> </w:t>
      </w:r>
      <w:r>
        <w:rPr>
          <w:sz w:val="16"/>
        </w:rPr>
        <w:t>Eur J Pharm</w:t>
      </w:r>
      <w:r>
        <w:rPr>
          <w:spacing w:val="-1"/>
          <w:sz w:val="16"/>
        </w:rPr>
        <w:t> </w:t>
      </w:r>
      <w:r>
        <w:rPr>
          <w:sz w:val="16"/>
        </w:rPr>
        <w:t>Biopharm,</w:t>
      </w:r>
      <w:r>
        <w:rPr>
          <w:spacing w:val="40"/>
          <w:sz w:val="16"/>
        </w:rPr>
        <w:t> </w:t>
      </w:r>
      <w:r>
        <w:rPr>
          <w:sz w:val="16"/>
        </w:rPr>
        <w:t>41, 1995, 62-69.</w:t>
      </w:r>
    </w:p>
    <w:p>
      <w:pPr>
        <w:pStyle w:val="ListParagraph"/>
        <w:numPr>
          <w:ilvl w:val="0"/>
          <w:numId w:val="6"/>
        </w:numPr>
        <w:tabs>
          <w:tab w:pos="423" w:val="left" w:leader="none"/>
        </w:tabs>
        <w:spacing w:line="240" w:lineRule="auto" w:before="0" w:after="0"/>
        <w:ind w:left="141" w:right="135" w:firstLine="0"/>
        <w:jc w:val="both"/>
        <w:rPr>
          <w:sz w:val="16"/>
        </w:rPr>
      </w:pPr>
      <w:r>
        <w:rPr>
          <w:sz w:val="16"/>
        </w:rPr>
        <w:t>Muhlen A and Mehnert W. Drug release and release mechanism of</w:t>
      </w:r>
      <w:r>
        <w:rPr>
          <w:spacing w:val="40"/>
          <w:sz w:val="16"/>
        </w:rPr>
        <w:t> </w:t>
      </w:r>
      <w:r>
        <w:rPr>
          <w:sz w:val="16"/>
        </w:rPr>
        <w:t>prednisolone loaded solid lipid nanoparticles. Pharmazie,</w:t>
      </w:r>
      <w:r>
        <w:rPr>
          <w:spacing w:val="-3"/>
          <w:sz w:val="16"/>
        </w:rPr>
        <w:t> </w:t>
      </w:r>
      <w:r>
        <w:rPr>
          <w:sz w:val="16"/>
        </w:rPr>
        <w:t>53,</w:t>
      </w:r>
      <w:r>
        <w:rPr>
          <w:spacing w:val="-3"/>
          <w:sz w:val="16"/>
        </w:rPr>
        <w:t> </w:t>
      </w:r>
      <w:r>
        <w:rPr>
          <w:sz w:val="16"/>
        </w:rPr>
        <w:t>1998,</w:t>
      </w:r>
      <w:r>
        <w:rPr>
          <w:spacing w:val="-3"/>
          <w:sz w:val="16"/>
        </w:rPr>
        <w:t> </w:t>
      </w:r>
      <w:r>
        <w:rPr>
          <w:sz w:val="16"/>
        </w:rPr>
        <w:t>552-555.</w:t>
      </w:r>
    </w:p>
    <w:p>
      <w:pPr>
        <w:pStyle w:val="ListParagraph"/>
        <w:numPr>
          <w:ilvl w:val="0"/>
          <w:numId w:val="6"/>
        </w:numPr>
        <w:tabs>
          <w:tab w:pos="447" w:val="left" w:leader="none"/>
        </w:tabs>
        <w:spacing w:line="240" w:lineRule="auto" w:before="0" w:after="0"/>
        <w:ind w:left="141" w:right="134" w:firstLine="0"/>
        <w:jc w:val="both"/>
        <w:rPr>
          <w:sz w:val="16"/>
        </w:rPr>
      </w:pPr>
      <w:r>
        <w:rPr>
          <w:sz w:val="16"/>
        </w:rPr>
        <w:t>Jahnke S. The theory of high pressure homogenization. In: Muller RH,</w:t>
      </w:r>
      <w:r>
        <w:rPr>
          <w:spacing w:val="40"/>
          <w:sz w:val="16"/>
        </w:rPr>
        <w:t> </w:t>
      </w:r>
      <w:r>
        <w:rPr>
          <w:sz w:val="16"/>
        </w:rPr>
        <w:t>Benita S and Bohm B, eds. Emulsions and Nanosuspensions for the</w:t>
      </w:r>
      <w:r>
        <w:rPr>
          <w:spacing w:val="40"/>
          <w:sz w:val="16"/>
        </w:rPr>
        <w:t> </w:t>
      </w:r>
      <w:r>
        <w:rPr>
          <w:sz w:val="16"/>
        </w:rPr>
        <w:t>Formulation of Poorly Soluble Drugs. Medpharm Scientific Publishers.</w:t>
      </w:r>
      <w:r>
        <w:rPr>
          <w:spacing w:val="40"/>
          <w:sz w:val="16"/>
        </w:rPr>
        <w:t> </w:t>
      </w:r>
      <w:r>
        <w:rPr>
          <w:sz w:val="16"/>
        </w:rPr>
        <w:t>Stuttgart, 1998, 177-200.</w:t>
      </w:r>
    </w:p>
    <w:p>
      <w:pPr>
        <w:pStyle w:val="ListParagraph"/>
        <w:numPr>
          <w:ilvl w:val="0"/>
          <w:numId w:val="6"/>
        </w:numPr>
        <w:tabs>
          <w:tab w:pos="399" w:val="left" w:leader="none"/>
        </w:tabs>
        <w:spacing w:line="240" w:lineRule="auto" w:before="0" w:after="0"/>
        <w:ind w:left="141" w:right="133" w:firstLine="0"/>
        <w:jc w:val="both"/>
        <w:rPr>
          <w:sz w:val="16"/>
        </w:rPr>
      </w:pPr>
      <w:r>
        <w:rPr>
          <w:sz w:val="16"/>
        </w:rPr>
        <w:t>Mukhrjee S, Ray S and Thakur S. Solid lipid nanoparticles: A modern</w:t>
      </w:r>
      <w:r>
        <w:rPr>
          <w:spacing w:val="40"/>
          <w:sz w:val="16"/>
        </w:rPr>
        <w:t> </w:t>
      </w:r>
      <w:r>
        <w:rPr>
          <w:sz w:val="16"/>
        </w:rPr>
        <w:t>formulation approach in drug delivery system. Indian journal of</w:t>
      </w:r>
      <w:r>
        <w:rPr>
          <w:spacing w:val="40"/>
          <w:sz w:val="16"/>
        </w:rPr>
        <w:t> </w:t>
      </w:r>
      <w:r>
        <w:rPr>
          <w:sz w:val="16"/>
        </w:rPr>
        <w:t>pharmaceutical sciences, 71(4), 2010, 349-358.</w:t>
      </w:r>
    </w:p>
    <w:p>
      <w:pPr>
        <w:pStyle w:val="ListParagraph"/>
        <w:numPr>
          <w:ilvl w:val="0"/>
          <w:numId w:val="6"/>
        </w:numPr>
        <w:tabs>
          <w:tab w:pos="394" w:val="left" w:leader="none"/>
        </w:tabs>
        <w:spacing w:line="240" w:lineRule="auto" w:before="0" w:after="0"/>
        <w:ind w:left="141" w:right="135" w:firstLine="0"/>
        <w:jc w:val="both"/>
        <w:rPr>
          <w:sz w:val="16"/>
        </w:rPr>
      </w:pPr>
      <w:r>
        <w:rPr>
          <w:sz w:val="16"/>
        </w:rPr>
        <w:t>Lippacher A, Muller RH and Mader K. Investigation on the viscoelastic</w:t>
      </w:r>
      <w:r>
        <w:rPr>
          <w:spacing w:val="40"/>
          <w:sz w:val="16"/>
        </w:rPr>
        <w:t> </w:t>
      </w:r>
      <w:r>
        <w:rPr>
          <w:sz w:val="16"/>
        </w:rPr>
        <w:t>properties</w:t>
      </w:r>
      <w:r>
        <w:rPr>
          <w:spacing w:val="-1"/>
          <w:sz w:val="16"/>
        </w:rPr>
        <w:t> </w:t>
      </w:r>
      <w:r>
        <w:rPr>
          <w:sz w:val="16"/>
        </w:rPr>
        <w:t>of</w:t>
      </w:r>
      <w:r>
        <w:rPr>
          <w:spacing w:val="-1"/>
          <w:sz w:val="16"/>
        </w:rPr>
        <w:t> </w:t>
      </w:r>
      <w:r>
        <w:rPr>
          <w:sz w:val="16"/>
        </w:rPr>
        <w:t>lipid based colloidal drug carriers.</w:t>
      </w:r>
      <w:r>
        <w:rPr>
          <w:spacing w:val="-2"/>
          <w:sz w:val="16"/>
        </w:rPr>
        <w:t> </w:t>
      </w:r>
      <w:r>
        <w:rPr>
          <w:sz w:val="16"/>
        </w:rPr>
        <w:t>Int</w:t>
      </w:r>
      <w:r>
        <w:rPr>
          <w:spacing w:val="-2"/>
          <w:sz w:val="16"/>
        </w:rPr>
        <w:t> </w:t>
      </w:r>
      <w:r>
        <w:rPr>
          <w:sz w:val="16"/>
        </w:rPr>
        <w:t>J Pharm, 196,</w:t>
      </w:r>
      <w:r>
        <w:rPr>
          <w:spacing w:val="-2"/>
          <w:sz w:val="16"/>
        </w:rPr>
        <w:t> </w:t>
      </w:r>
      <w:r>
        <w:rPr>
          <w:sz w:val="16"/>
        </w:rPr>
        <w:t>2000,</w:t>
      </w:r>
      <w:r>
        <w:rPr>
          <w:spacing w:val="-2"/>
          <w:sz w:val="16"/>
        </w:rPr>
        <w:t> </w:t>
      </w:r>
      <w:r>
        <w:rPr>
          <w:sz w:val="16"/>
        </w:rPr>
        <w:t>227-</w:t>
      </w:r>
      <w:r>
        <w:rPr>
          <w:spacing w:val="40"/>
          <w:sz w:val="16"/>
        </w:rPr>
        <w:t> </w:t>
      </w:r>
      <w:r>
        <w:rPr>
          <w:spacing w:val="-4"/>
          <w:sz w:val="16"/>
        </w:rPr>
        <w:t>230.</w:t>
      </w:r>
    </w:p>
    <w:p>
      <w:pPr>
        <w:pStyle w:val="ListParagraph"/>
        <w:numPr>
          <w:ilvl w:val="0"/>
          <w:numId w:val="6"/>
        </w:numPr>
        <w:tabs>
          <w:tab w:pos="543" w:val="left" w:leader="none"/>
        </w:tabs>
        <w:spacing w:line="240" w:lineRule="auto" w:before="0" w:after="0"/>
        <w:ind w:left="141" w:right="133" w:firstLine="0"/>
        <w:jc w:val="both"/>
        <w:rPr>
          <w:sz w:val="16"/>
        </w:rPr>
      </w:pPr>
      <w:r>
        <w:rPr>
          <w:sz w:val="16"/>
        </w:rPr>
        <w:t>Eldem T, Speiser P, Hincal A. Optimization of spray-dried and</w:t>
      </w:r>
      <w:r>
        <w:rPr>
          <w:spacing w:val="40"/>
          <w:sz w:val="16"/>
        </w:rPr>
        <w:t> </w:t>
      </w:r>
      <w:r>
        <w:rPr>
          <w:sz w:val="16"/>
        </w:rPr>
        <w:t>congealed lipid microparticles and characterization of their surface</w:t>
      </w:r>
      <w:r>
        <w:rPr>
          <w:spacing w:val="40"/>
          <w:sz w:val="16"/>
        </w:rPr>
        <w:t> </w:t>
      </w:r>
      <w:r>
        <w:rPr>
          <w:sz w:val="16"/>
        </w:rPr>
        <w:t>morphology by scanning electron microscopy. Pharm Res 1991;8:47-54.</w:t>
      </w:r>
    </w:p>
    <w:p>
      <w:pPr>
        <w:pStyle w:val="ListParagraph"/>
        <w:numPr>
          <w:ilvl w:val="0"/>
          <w:numId w:val="6"/>
        </w:numPr>
        <w:tabs>
          <w:tab w:pos="452" w:val="left" w:leader="none"/>
        </w:tabs>
        <w:spacing w:line="240" w:lineRule="auto" w:before="0" w:after="0"/>
        <w:ind w:left="141" w:right="133" w:firstLine="0"/>
        <w:jc w:val="both"/>
        <w:rPr>
          <w:sz w:val="16"/>
        </w:rPr>
      </w:pPr>
      <w:r>
        <w:rPr>
          <w:sz w:val="16"/>
        </w:rPr>
        <w:t>Eldem T, Speiser P, Hincal A. Optimization of spray-dried and</w:t>
      </w:r>
      <w:r>
        <w:rPr>
          <w:spacing w:val="40"/>
          <w:sz w:val="16"/>
        </w:rPr>
        <w:t> </w:t>
      </w:r>
      <w:r>
        <w:rPr>
          <w:sz w:val="16"/>
        </w:rPr>
        <w:t>congealed lipid microparticles and characterization of their surface</w:t>
      </w:r>
      <w:r>
        <w:rPr>
          <w:spacing w:val="40"/>
          <w:sz w:val="16"/>
        </w:rPr>
        <w:t> </w:t>
      </w:r>
      <w:r>
        <w:rPr>
          <w:sz w:val="16"/>
        </w:rPr>
        <w:t>morphology by scanning electron microscopy. Pharm Res. 1991;8:47–54.</w:t>
      </w:r>
    </w:p>
    <w:p>
      <w:pPr>
        <w:pStyle w:val="ListParagraph"/>
        <w:numPr>
          <w:ilvl w:val="0"/>
          <w:numId w:val="6"/>
        </w:numPr>
        <w:tabs>
          <w:tab w:pos="380" w:val="left" w:leader="none"/>
        </w:tabs>
        <w:spacing w:line="240" w:lineRule="auto" w:before="0" w:after="0"/>
        <w:ind w:left="141" w:right="137" w:firstLine="0"/>
        <w:jc w:val="both"/>
        <w:rPr>
          <w:sz w:val="16"/>
        </w:rPr>
      </w:pPr>
      <w:r>
        <w:rPr>
          <w:sz w:val="16"/>
        </w:rPr>
        <w:t>Speiser</w:t>
      </w:r>
      <w:r>
        <w:rPr>
          <w:spacing w:val="-3"/>
          <w:sz w:val="16"/>
        </w:rPr>
        <w:t> </w:t>
      </w:r>
      <w:r>
        <w:rPr>
          <w:sz w:val="16"/>
        </w:rPr>
        <w:t>P.</w:t>
      </w:r>
      <w:r>
        <w:rPr>
          <w:spacing w:val="-8"/>
          <w:sz w:val="16"/>
        </w:rPr>
        <w:t> </w:t>
      </w:r>
      <w:r>
        <w:rPr>
          <w:sz w:val="16"/>
        </w:rPr>
        <w:t>Lipidnanopellets</w:t>
      </w:r>
      <w:r>
        <w:rPr>
          <w:spacing w:val="27"/>
          <w:sz w:val="16"/>
        </w:rPr>
        <w:t> </w:t>
      </w:r>
      <w:r>
        <w:rPr>
          <w:sz w:val="16"/>
        </w:rPr>
        <w:t>Tragersystem</w:t>
      </w:r>
      <w:r>
        <w:rPr>
          <w:spacing w:val="-2"/>
          <w:sz w:val="16"/>
        </w:rPr>
        <w:t> </w:t>
      </w:r>
      <w:r>
        <w:rPr>
          <w:sz w:val="16"/>
        </w:rPr>
        <w:t>fur</w:t>
      </w:r>
      <w:r>
        <w:rPr>
          <w:spacing w:val="-3"/>
          <w:sz w:val="16"/>
        </w:rPr>
        <w:t> </w:t>
      </w:r>
      <w:r>
        <w:rPr>
          <w:sz w:val="16"/>
        </w:rPr>
        <w:t>Arzneimittel</w:t>
      </w:r>
      <w:r>
        <w:rPr>
          <w:spacing w:val="-4"/>
          <w:sz w:val="16"/>
        </w:rPr>
        <w:t> </w:t>
      </w:r>
      <w:r>
        <w:rPr>
          <w:sz w:val="16"/>
        </w:rPr>
        <w:t>zur</w:t>
      </w:r>
      <w:r>
        <w:rPr>
          <w:spacing w:val="-3"/>
          <w:sz w:val="16"/>
        </w:rPr>
        <w:t> </w:t>
      </w:r>
      <w:r>
        <w:rPr>
          <w:sz w:val="16"/>
        </w:rPr>
        <w:t>peroralem</w:t>
      </w:r>
      <w:r>
        <w:rPr>
          <w:spacing w:val="40"/>
          <w:sz w:val="16"/>
        </w:rPr>
        <w:t> </w:t>
      </w:r>
      <w:r>
        <w:rPr>
          <w:sz w:val="16"/>
        </w:rPr>
        <w:t>Anwendung. European Patent No. EP 0167825. 1990.45-48.</w:t>
      </w:r>
    </w:p>
    <w:p>
      <w:pPr>
        <w:pStyle w:val="ListParagraph"/>
        <w:numPr>
          <w:ilvl w:val="0"/>
          <w:numId w:val="6"/>
        </w:numPr>
        <w:tabs>
          <w:tab w:pos="428" w:val="left" w:leader="none"/>
        </w:tabs>
        <w:spacing w:line="240" w:lineRule="auto" w:before="0" w:after="0"/>
        <w:ind w:left="141" w:right="133" w:firstLine="0"/>
        <w:jc w:val="both"/>
        <w:rPr>
          <w:sz w:val="16"/>
        </w:rPr>
      </w:pPr>
      <w:r>
        <w:rPr>
          <w:sz w:val="16"/>
        </w:rPr>
        <w:t>Sjostrom</w:t>
      </w:r>
      <w:r>
        <w:rPr>
          <w:spacing w:val="-3"/>
          <w:sz w:val="16"/>
        </w:rPr>
        <w:t> </w:t>
      </w:r>
      <w:r>
        <w:rPr>
          <w:sz w:val="16"/>
        </w:rPr>
        <w:t>B and</w:t>
      </w:r>
      <w:r>
        <w:rPr>
          <w:spacing w:val="-3"/>
          <w:sz w:val="16"/>
        </w:rPr>
        <w:t> </w:t>
      </w:r>
      <w:r>
        <w:rPr>
          <w:sz w:val="16"/>
        </w:rPr>
        <w:t>Bergenstahl</w:t>
      </w:r>
      <w:r>
        <w:rPr>
          <w:spacing w:val="-1"/>
          <w:sz w:val="16"/>
        </w:rPr>
        <w:t> </w:t>
      </w:r>
      <w:r>
        <w:rPr>
          <w:sz w:val="16"/>
        </w:rPr>
        <w:t>B.</w:t>
      </w:r>
      <w:r>
        <w:rPr>
          <w:spacing w:val="-1"/>
          <w:sz w:val="16"/>
        </w:rPr>
        <w:t> </w:t>
      </w:r>
      <w:r>
        <w:rPr>
          <w:sz w:val="16"/>
        </w:rPr>
        <w:t>prepration</w:t>
      </w:r>
      <w:r>
        <w:rPr>
          <w:spacing w:val="-3"/>
          <w:sz w:val="16"/>
        </w:rPr>
        <w:t> </w:t>
      </w:r>
      <w:r>
        <w:rPr>
          <w:sz w:val="16"/>
        </w:rPr>
        <w:t>of submicron</w:t>
      </w:r>
      <w:r>
        <w:rPr>
          <w:spacing w:val="-3"/>
          <w:sz w:val="16"/>
        </w:rPr>
        <w:t> </w:t>
      </w:r>
      <w:r>
        <w:rPr>
          <w:sz w:val="16"/>
        </w:rPr>
        <w:t>drug</w:t>
      </w:r>
      <w:r>
        <w:rPr>
          <w:spacing w:val="-3"/>
          <w:sz w:val="16"/>
        </w:rPr>
        <w:t> </w:t>
      </w:r>
      <w:r>
        <w:rPr>
          <w:sz w:val="16"/>
        </w:rPr>
        <w:t>particles in</w:t>
      </w:r>
      <w:r>
        <w:rPr>
          <w:spacing w:val="40"/>
          <w:sz w:val="16"/>
        </w:rPr>
        <w:t> </w:t>
      </w:r>
      <w:r>
        <w:rPr>
          <w:sz w:val="16"/>
        </w:rPr>
        <w:t>lecithin-stabilized o/w emulsions: I: model studies of the precipitation of</w:t>
      </w:r>
      <w:r>
        <w:rPr>
          <w:spacing w:val="40"/>
          <w:sz w:val="16"/>
        </w:rPr>
        <w:t> </w:t>
      </w:r>
      <w:r>
        <w:rPr>
          <w:sz w:val="16"/>
        </w:rPr>
        <w:t>cholesteryl acetate. Int J Pharm, 88, 1992, 53-62.</w:t>
      </w:r>
    </w:p>
    <w:p>
      <w:pPr>
        <w:pStyle w:val="ListParagraph"/>
        <w:numPr>
          <w:ilvl w:val="0"/>
          <w:numId w:val="6"/>
        </w:numPr>
        <w:tabs>
          <w:tab w:pos="394" w:val="left" w:leader="none"/>
        </w:tabs>
        <w:spacing w:line="240" w:lineRule="auto" w:before="0" w:after="0"/>
        <w:ind w:left="141" w:right="134" w:firstLine="0"/>
        <w:jc w:val="both"/>
        <w:rPr>
          <w:sz w:val="16"/>
        </w:rPr>
      </w:pPr>
      <w:r>
        <w:rPr>
          <w:sz w:val="16"/>
        </w:rPr>
        <w:t>Siekmann B and Westesen K. Investigations of solid lipid nanoparticles</w:t>
      </w:r>
      <w:r>
        <w:rPr>
          <w:spacing w:val="40"/>
          <w:sz w:val="16"/>
        </w:rPr>
        <w:t> </w:t>
      </w:r>
      <w:r>
        <w:rPr>
          <w:sz w:val="16"/>
        </w:rPr>
        <w:t>prepared by precipitation in o/w emulsions. Eur J Pharm Biopharm, 43,</w:t>
      </w:r>
      <w:r>
        <w:rPr>
          <w:spacing w:val="40"/>
          <w:sz w:val="16"/>
        </w:rPr>
        <w:t> </w:t>
      </w:r>
      <w:r>
        <w:rPr>
          <w:sz w:val="16"/>
        </w:rPr>
        <w:t>1996,</w:t>
      </w:r>
      <w:r>
        <w:rPr>
          <w:spacing w:val="-7"/>
          <w:sz w:val="16"/>
        </w:rPr>
        <w:t> </w:t>
      </w:r>
      <w:r>
        <w:rPr>
          <w:sz w:val="16"/>
        </w:rPr>
        <w:t>104-109.</w:t>
      </w:r>
    </w:p>
    <w:p>
      <w:pPr>
        <w:pStyle w:val="ListParagraph"/>
        <w:numPr>
          <w:ilvl w:val="0"/>
          <w:numId w:val="6"/>
        </w:numPr>
        <w:tabs>
          <w:tab w:pos="389" w:val="left" w:leader="none"/>
        </w:tabs>
        <w:spacing w:line="240" w:lineRule="auto" w:before="0" w:after="0"/>
        <w:ind w:left="141" w:right="133" w:firstLine="0"/>
        <w:jc w:val="both"/>
        <w:rPr>
          <w:sz w:val="16"/>
        </w:rPr>
      </w:pPr>
      <w:r>
        <w:rPr>
          <w:sz w:val="16"/>
        </w:rPr>
        <w:t>Chen YJ, Jin RX, Zhou YQ, Zeng J, Zhang H and Feng QR. Preparation</w:t>
      </w:r>
      <w:r>
        <w:rPr>
          <w:spacing w:val="40"/>
          <w:sz w:val="16"/>
        </w:rPr>
        <w:t> </w:t>
      </w:r>
      <w:r>
        <w:rPr>
          <w:sz w:val="16"/>
        </w:rPr>
        <w:t>of</w:t>
      </w:r>
      <w:r>
        <w:rPr>
          <w:spacing w:val="-2"/>
          <w:sz w:val="16"/>
        </w:rPr>
        <w:t> </w:t>
      </w:r>
      <w:r>
        <w:rPr>
          <w:sz w:val="16"/>
        </w:rPr>
        <w:t>solid</w:t>
      </w:r>
      <w:r>
        <w:rPr>
          <w:spacing w:val="-5"/>
          <w:sz w:val="16"/>
        </w:rPr>
        <w:t> </w:t>
      </w:r>
      <w:r>
        <w:rPr>
          <w:sz w:val="16"/>
        </w:rPr>
        <w:t>lipid</w:t>
      </w:r>
      <w:r>
        <w:rPr>
          <w:spacing w:val="-1"/>
          <w:sz w:val="16"/>
        </w:rPr>
        <w:t> </w:t>
      </w:r>
      <w:r>
        <w:rPr>
          <w:sz w:val="16"/>
        </w:rPr>
        <w:t>nanoparticle</w:t>
      </w:r>
      <w:r>
        <w:rPr>
          <w:spacing w:val="-1"/>
          <w:sz w:val="16"/>
        </w:rPr>
        <w:t> </w:t>
      </w:r>
      <w:r>
        <w:rPr>
          <w:sz w:val="16"/>
        </w:rPr>
        <w:t>loaded with</w:t>
      </w:r>
      <w:r>
        <w:rPr>
          <w:spacing w:val="-1"/>
          <w:sz w:val="16"/>
        </w:rPr>
        <w:t> </w:t>
      </w:r>
      <w:r>
        <w:rPr>
          <w:sz w:val="16"/>
        </w:rPr>
        <w:t>Xionggui powder-supercritical carbon</w:t>
      </w:r>
      <w:r>
        <w:rPr>
          <w:spacing w:val="40"/>
          <w:sz w:val="16"/>
        </w:rPr>
        <w:t> </w:t>
      </w:r>
      <w:r>
        <w:rPr>
          <w:sz w:val="16"/>
        </w:rPr>
        <w:t>dioxide fluid extraction and their evaluation in vitro release. Zhongguo</w:t>
      </w:r>
      <w:r>
        <w:rPr>
          <w:spacing w:val="40"/>
          <w:sz w:val="16"/>
        </w:rPr>
        <w:t> </w:t>
      </w:r>
      <w:r>
        <w:rPr>
          <w:sz w:val="16"/>
        </w:rPr>
        <w:t>Zhong Yao Za Zhi, 31, 2006, 376-379</w:t>
      </w:r>
    </w:p>
    <w:p>
      <w:pPr>
        <w:pStyle w:val="ListParagraph"/>
        <w:numPr>
          <w:ilvl w:val="0"/>
          <w:numId w:val="6"/>
        </w:numPr>
        <w:tabs>
          <w:tab w:pos="341" w:val="left" w:leader="none"/>
        </w:tabs>
        <w:spacing w:line="240" w:lineRule="auto" w:before="0" w:after="0"/>
        <w:ind w:left="141" w:right="133" w:firstLine="0"/>
        <w:jc w:val="both"/>
        <w:rPr>
          <w:sz w:val="16"/>
        </w:rPr>
      </w:pPr>
      <w:r>
        <w:rPr>
          <w:sz w:val="16"/>
        </w:rPr>
        <w:t>solid lipid nanoparticles: an effective lipid based technology for poorly</w:t>
      </w:r>
      <w:r>
        <w:rPr>
          <w:spacing w:val="40"/>
          <w:sz w:val="16"/>
        </w:rPr>
        <w:t> </w:t>
      </w:r>
      <w:r>
        <w:rPr>
          <w:sz w:val="16"/>
        </w:rPr>
        <w:t>water soluble drugs. Sunil Kamboj, Suman Bala and Anroop B Nair.</w:t>
      </w:r>
      <w:r>
        <w:rPr>
          <w:spacing w:val="40"/>
          <w:sz w:val="16"/>
        </w:rPr>
        <w:t> </w:t>
      </w:r>
      <w:r>
        <w:rPr>
          <w:sz w:val="16"/>
        </w:rPr>
        <w:t>International Journal of Pharmaceutical Sciences Review and Research</w:t>
      </w:r>
      <w:r>
        <w:rPr>
          <w:spacing w:val="40"/>
          <w:sz w:val="16"/>
        </w:rPr>
        <w:t> </w:t>
      </w:r>
      <w:r>
        <w:rPr>
          <w:sz w:val="16"/>
        </w:rPr>
        <w:t>Volume 5, Issue 2, November – December 2010;78-90.</w:t>
      </w:r>
    </w:p>
    <w:p>
      <w:pPr>
        <w:pStyle w:val="ListParagraph"/>
        <w:numPr>
          <w:ilvl w:val="0"/>
          <w:numId w:val="6"/>
        </w:numPr>
        <w:tabs>
          <w:tab w:pos="433" w:val="left" w:leader="none"/>
        </w:tabs>
        <w:spacing w:line="240" w:lineRule="auto" w:before="0" w:after="0"/>
        <w:ind w:left="141" w:right="136" w:firstLine="0"/>
        <w:jc w:val="both"/>
        <w:rPr>
          <w:sz w:val="16"/>
        </w:rPr>
      </w:pPr>
      <w:r>
        <w:rPr>
          <w:sz w:val="16"/>
        </w:rPr>
        <w:t>Gasco MR. Solid lipid nanospheres from warm micronanoparticles</w:t>
      </w:r>
      <w:r>
        <w:rPr>
          <w:spacing w:val="40"/>
          <w:sz w:val="16"/>
        </w:rPr>
        <w:t> </w:t>
      </w:r>
      <w:r>
        <w:rPr>
          <w:sz w:val="16"/>
        </w:rPr>
        <w:t>emulsions. Pharm Tech Eur, 9, 1997, 52-58.</w:t>
      </w:r>
    </w:p>
    <w:p>
      <w:pPr>
        <w:pStyle w:val="ListParagraph"/>
        <w:numPr>
          <w:ilvl w:val="0"/>
          <w:numId w:val="6"/>
        </w:numPr>
        <w:tabs>
          <w:tab w:pos="437" w:val="left" w:leader="none"/>
        </w:tabs>
        <w:spacing w:line="240" w:lineRule="auto" w:before="0" w:after="0"/>
        <w:ind w:left="141" w:right="139" w:firstLine="0"/>
        <w:jc w:val="both"/>
        <w:rPr>
          <w:sz w:val="16"/>
        </w:rPr>
      </w:pPr>
      <w:r>
        <w:rPr>
          <w:sz w:val="16"/>
        </w:rPr>
        <w:t>Boltri L, Canal T, Esposito PA and Carli F. Lipid nanoparticles:</w:t>
      </w:r>
      <w:r>
        <w:rPr>
          <w:spacing w:val="40"/>
          <w:sz w:val="16"/>
        </w:rPr>
        <w:t> </w:t>
      </w:r>
      <w:r>
        <w:rPr>
          <w:sz w:val="16"/>
        </w:rPr>
        <w:t>evaluation of some critical formulation parameters. Proc Intern Symp.</w:t>
      </w:r>
      <w:r>
        <w:rPr>
          <w:spacing w:val="40"/>
          <w:sz w:val="16"/>
        </w:rPr>
        <w:t> </w:t>
      </w:r>
      <w:r>
        <w:rPr>
          <w:sz w:val="16"/>
        </w:rPr>
        <w:t>Control Release Bioact Mater, 20, 1993, 346-347.</w:t>
      </w:r>
    </w:p>
    <w:p>
      <w:pPr>
        <w:pStyle w:val="ListParagraph"/>
        <w:numPr>
          <w:ilvl w:val="0"/>
          <w:numId w:val="6"/>
        </w:numPr>
        <w:tabs>
          <w:tab w:pos="385" w:val="left" w:leader="none"/>
        </w:tabs>
        <w:spacing w:line="240" w:lineRule="auto" w:before="1" w:after="0"/>
        <w:ind w:left="141" w:right="133" w:firstLine="0"/>
        <w:jc w:val="both"/>
        <w:rPr>
          <w:sz w:val="16"/>
        </w:rPr>
      </w:pPr>
      <w:r>
        <w:rPr>
          <w:sz w:val="16"/>
        </w:rPr>
        <w:t>Muchow M, Maincent P</w:t>
      </w:r>
      <w:r>
        <w:rPr>
          <w:spacing w:val="-3"/>
          <w:sz w:val="16"/>
        </w:rPr>
        <w:t> </w:t>
      </w:r>
      <w:r>
        <w:rPr>
          <w:sz w:val="16"/>
        </w:rPr>
        <w:t>and</w:t>
      </w:r>
      <w:r>
        <w:rPr>
          <w:spacing w:val="-4"/>
          <w:sz w:val="16"/>
        </w:rPr>
        <w:t> </w:t>
      </w:r>
      <w:r>
        <w:rPr>
          <w:sz w:val="16"/>
        </w:rPr>
        <w:t>Muller</w:t>
      </w:r>
      <w:r>
        <w:rPr>
          <w:spacing w:val="-1"/>
          <w:sz w:val="16"/>
        </w:rPr>
        <w:t> </w:t>
      </w:r>
      <w:r>
        <w:rPr>
          <w:sz w:val="16"/>
        </w:rPr>
        <w:t>RH. Lipid nanoparticles</w:t>
      </w:r>
      <w:r>
        <w:rPr>
          <w:spacing w:val="-1"/>
          <w:sz w:val="16"/>
        </w:rPr>
        <w:t> </w:t>
      </w:r>
      <w:r>
        <w:rPr>
          <w:sz w:val="16"/>
        </w:rPr>
        <w:t>with a solid</w:t>
      </w:r>
      <w:r>
        <w:rPr>
          <w:spacing w:val="40"/>
          <w:sz w:val="16"/>
        </w:rPr>
        <w:t> </w:t>
      </w:r>
      <w:r>
        <w:rPr>
          <w:sz w:val="16"/>
        </w:rPr>
        <w:t>matrix (SLN, NLC, LDC) for oral drug delivery. Drug Development and</w:t>
      </w:r>
      <w:r>
        <w:rPr>
          <w:spacing w:val="40"/>
          <w:sz w:val="16"/>
        </w:rPr>
        <w:t> </w:t>
      </w:r>
      <w:r>
        <w:rPr>
          <w:sz w:val="16"/>
        </w:rPr>
        <w:t>Industrial Pharmacy, 34, 2008, 1394-1405.</w:t>
      </w:r>
    </w:p>
    <w:p>
      <w:pPr>
        <w:pStyle w:val="ListParagraph"/>
        <w:numPr>
          <w:ilvl w:val="0"/>
          <w:numId w:val="6"/>
        </w:numPr>
        <w:tabs>
          <w:tab w:pos="409" w:val="left" w:leader="none"/>
        </w:tabs>
        <w:spacing w:line="240" w:lineRule="auto" w:before="0" w:after="0"/>
        <w:ind w:left="141" w:right="136" w:firstLine="0"/>
        <w:jc w:val="both"/>
        <w:rPr>
          <w:sz w:val="16"/>
        </w:rPr>
      </w:pPr>
      <w:r>
        <w:rPr>
          <w:sz w:val="16"/>
        </w:rPr>
        <w:t>Freitas C, Muller RH. Spray-drying of Solid lipid nanoparticles (SLN</w:t>
      </w:r>
      <w:r>
        <w:rPr>
          <w:spacing w:val="40"/>
          <w:sz w:val="16"/>
        </w:rPr>
        <w:t> </w:t>
      </w:r>
      <w:r>
        <w:rPr>
          <w:sz w:val="16"/>
        </w:rPr>
        <w:t>TM) Eur J Pharm Biopharm. 1998;46:145–51.[PubMed]</w:t>
      </w:r>
    </w:p>
    <w:p>
      <w:pPr>
        <w:pStyle w:val="ListParagraph"/>
        <w:numPr>
          <w:ilvl w:val="0"/>
          <w:numId w:val="6"/>
        </w:numPr>
        <w:tabs>
          <w:tab w:pos="404" w:val="left" w:leader="none"/>
        </w:tabs>
        <w:spacing w:line="244" w:lineRule="auto" w:before="0" w:after="0"/>
        <w:ind w:left="141" w:right="135" w:firstLine="0"/>
        <w:jc w:val="both"/>
        <w:rPr>
          <w:sz w:val="16"/>
        </w:rPr>
      </w:pPr>
      <w:r>
        <w:rPr>
          <w:sz w:val="16"/>
        </w:rPr>
        <w:t>Kaiser CS, Rompp H and Schmidt PC. Pharmaceutical applications of</w:t>
      </w:r>
      <w:r>
        <w:rPr>
          <w:spacing w:val="40"/>
          <w:sz w:val="16"/>
        </w:rPr>
        <w:t> </w:t>
      </w:r>
      <w:r>
        <w:rPr>
          <w:sz w:val="16"/>
        </w:rPr>
        <w:t>supercritical carbon dioxide. Pharmazie, 56, 2001, 907-926.</w:t>
      </w:r>
    </w:p>
    <w:p>
      <w:pPr>
        <w:pStyle w:val="ListParagraph"/>
        <w:spacing w:after="0" w:line="244" w:lineRule="auto"/>
        <w:jc w:val="both"/>
        <w:rPr>
          <w:sz w:val="16"/>
        </w:rPr>
        <w:sectPr>
          <w:headerReference w:type="default" r:id="rId12"/>
          <w:footerReference w:type="default" r:id="rId13"/>
          <w:pgSz w:w="11900" w:h="16820"/>
          <w:pgMar w:header="609" w:footer="849" w:top="1080" w:bottom="1040" w:left="708" w:right="708"/>
          <w:cols w:num="2" w:equalWidth="0">
            <w:col w:w="5145" w:space="101"/>
            <w:col w:w="5238"/>
          </w:cols>
        </w:sectPr>
      </w:pPr>
    </w:p>
    <w:p>
      <w:pPr>
        <w:pStyle w:val="ListParagraph"/>
        <w:numPr>
          <w:ilvl w:val="0"/>
          <w:numId w:val="6"/>
        </w:numPr>
        <w:tabs>
          <w:tab w:pos="437" w:val="left" w:leader="none"/>
        </w:tabs>
        <w:spacing w:line="240" w:lineRule="auto" w:before="97" w:after="0"/>
        <w:ind w:left="141" w:right="42" w:firstLine="0"/>
        <w:jc w:val="both"/>
        <w:rPr>
          <w:sz w:val="16"/>
        </w:rPr>
      </w:pPr>
      <w:r>
        <w:rPr>
          <w:sz w:val="16"/>
        </w:rPr>
        <w:t>Gosselin PM, Thibert R, Preda M and Macmullen JN. Polymeric</w:t>
      </w:r>
      <w:r>
        <w:rPr>
          <w:spacing w:val="40"/>
          <w:sz w:val="16"/>
        </w:rPr>
        <w:t> </w:t>
      </w:r>
      <w:r>
        <w:rPr>
          <w:sz w:val="16"/>
        </w:rPr>
        <w:t>properties of micronized carbamazepine produced by RESS. Int J Pharm,</w:t>
      </w:r>
      <w:r>
        <w:rPr>
          <w:spacing w:val="40"/>
          <w:sz w:val="16"/>
        </w:rPr>
        <w:t> </w:t>
      </w:r>
      <w:r>
        <w:rPr>
          <w:sz w:val="16"/>
        </w:rPr>
        <w:t>252, 2003, 225-233.</w:t>
      </w:r>
    </w:p>
    <w:p>
      <w:pPr>
        <w:pStyle w:val="ListParagraph"/>
        <w:numPr>
          <w:ilvl w:val="0"/>
          <w:numId w:val="6"/>
        </w:numPr>
        <w:tabs>
          <w:tab w:pos="385" w:val="left" w:leader="none"/>
        </w:tabs>
        <w:spacing w:line="240" w:lineRule="auto" w:before="0" w:after="0"/>
        <w:ind w:left="141" w:right="41" w:firstLine="0"/>
        <w:jc w:val="both"/>
        <w:rPr>
          <w:sz w:val="16"/>
        </w:rPr>
      </w:pPr>
      <w:r>
        <w:rPr>
          <w:sz w:val="16"/>
        </w:rPr>
        <w:t>Cortesi R,</w:t>
      </w:r>
      <w:r>
        <w:rPr>
          <w:spacing w:val="-1"/>
          <w:sz w:val="16"/>
        </w:rPr>
        <w:t> </w:t>
      </w:r>
      <w:r>
        <w:rPr>
          <w:sz w:val="16"/>
        </w:rPr>
        <w:t>Esposito</w:t>
      </w:r>
      <w:r>
        <w:rPr>
          <w:spacing w:val="-3"/>
          <w:sz w:val="16"/>
        </w:rPr>
        <w:t> </w:t>
      </w:r>
      <w:r>
        <w:rPr>
          <w:sz w:val="16"/>
        </w:rPr>
        <w:t>E,</w:t>
      </w:r>
      <w:r>
        <w:rPr>
          <w:spacing w:val="-1"/>
          <w:sz w:val="16"/>
        </w:rPr>
        <w:t> </w:t>
      </w:r>
      <w:r>
        <w:rPr>
          <w:sz w:val="16"/>
        </w:rPr>
        <w:t>Luca G,</w:t>
      </w:r>
      <w:r>
        <w:rPr>
          <w:spacing w:val="-1"/>
          <w:sz w:val="16"/>
        </w:rPr>
        <w:t> </w:t>
      </w:r>
      <w:r>
        <w:rPr>
          <w:sz w:val="16"/>
        </w:rPr>
        <w:t>Nastruzzi</w:t>
      </w:r>
      <w:r>
        <w:rPr>
          <w:spacing w:val="-1"/>
          <w:sz w:val="16"/>
        </w:rPr>
        <w:t> </w:t>
      </w:r>
      <w:r>
        <w:rPr>
          <w:sz w:val="16"/>
        </w:rPr>
        <w:t>C. Production of lipospheres</w:t>
      </w:r>
      <w:r>
        <w:rPr>
          <w:spacing w:val="-4"/>
          <w:sz w:val="16"/>
        </w:rPr>
        <w:t> </w:t>
      </w:r>
      <w:r>
        <w:rPr>
          <w:sz w:val="16"/>
        </w:rPr>
        <w:t>as</w:t>
      </w:r>
      <w:r>
        <w:rPr>
          <w:spacing w:val="40"/>
          <w:sz w:val="16"/>
        </w:rPr>
        <w:t> </w:t>
      </w:r>
      <w:r>
        <w:rPr>
          <w:sz w:val="16"/>
        </w:rPr>
        <w:t>carriers for bioactive compounds. Biomaterials. 2002;23:2283–94.[PubMed]</w:t>
      </w:r>
    </w:p>
    <w:p>
      <w:pPr>
        <w:pStyle w:val="ListParagraph"/>
        <w:numPr>
          <w:ilvl w:val="0"/>
          <w:numId w:val="6"/>
        </w:numPr>
        <w:tabs>
          <w:tab w:pos="409" w:val="left" w:leader="none"/>
        </w:tabs>
        <w:spacing w:line="240" w:lineRule="auto" w:before="1" w:after="0"/>
        <w:ind w:left="141" w:right="38" w:firstLine="0"/>
        <w:jc w:val="both"/>
        <w:rPr>
          <w:sz w:val="16"/>
        </w:rPr>
      </w:pPr>
      <w:r>
        <w:rPr>
          <w:sz w:val="16"/>
        </w:rPr>
        <w:t>Solid Lipid Nanoparticles: A Promising Drug Delivery Technology S.</w:t>
      </w:r>
      <w:r>
        <w:rPr>
          <w:spacing w:val="40"/>
          <w:sz w:val="16"/>
        </w:rPr>
        <w:t> </w:t>
      </w:r>
      <w:r>
        <w:rPr>
          <w:sz w:val="16"/>
        </w:rPr>
        <w:t>Pragati S. Kuldeep, S. Ashok , M. Satheesh International Journal of</w:t>
      </w:r>
      <w:r>
        <w:rPr>
          <w:spacing w:val="40"/>
          <w:sz w:val="16"/>
        </w:rPr>
        <w:t> </w:t>
      </w:r>
      <w:r>
        <w:rPr>
          <w:sz w:val="16"/>
        </w:rPr>
        <w:t>Pharmaceutical</w:t>
      </w:r>
      <w:r>
        <w:rPr>
          <w:spacing w:val="17"/>
          <w:sz w:val="16"/>
        </w:rPr>
        <w:t> </w:t>
      </w:r>
      <w:r>
        <w:rPr>
          <w:sz w:val="16"/>
        </w:rPr>
        <w:t>Sciences</w:t>
      </w:r>
      <w:r>
        <w:rPr>
          <w:spacing w:val="10"/>
          <w:sz w:val="16"/>
        </w:rPr>
        <w:t> </w:t>
      </w:r>
      <w:r>
        <w:rPr>
          <w:sz w:val="16"/>
        </w:rPr>
        <w:t>and</w:t>
      </w:r>
      <w:r>
        <w:rPr>
          <w:spacing w:val="12"/>
          <w:sz w:val="16"/>
        </w:rPr>
        <w:t> </w:t>
      </w:r>
      <w:r>
        <w:rPr>
          <w:sz w:val="16"/>
        </w:rPr>
        <w:t>Nanotechnology</w:t>
      </w:r>
      <w:r>
        <w:rPr>
          <w:spacing w:val="12"/>
          <w:sz w:val="16"/>
        </w:rPr>
        <w:t> </w:t>
      </w:r>
      <w:r>
        <w:rPr>
          <w:sz w:val="16"/>
        </w:rPr>
        <w:t>509-516.</w:t>
      </w:r>
      <w:r>
        <w:rPr>
          <w:spacing w:val="13"/>
          <w:sz w:val="16"/>
        </w:rPr>
        <w:t> </w:t>
      </w:r>
      <w:r>
        <w:rPr>
          <w:sz w:val="16"/>
        </w:rPr>
        <w:t>Volume</w:t>
      </w:r>
      <w:r>
        <w:rPr>
          <w:spacing w:val="11"/>
          <w:sz w:val="16"/>
        </w:rPr>
        <w:t> </w:t>
      </w:r>
      <w:r>
        <w:rPr>
          <w:sz w:val="16"/>
        </w:rPr>
        <w:t>2</w:t>
      </w:r>
      <w:r>
        <w:rPr>
          <w:spacing w:val="17"/>
          <w:sz w:val="16"/>
        </w:rPr>
        <w:t> </w:t>
      </w:r>
      <w:r>
        <w:rPr>
          <w:sz w:val="16"/>
        </w:rPr>
        <w:t>,</w:t>
      </w:r>
      <w:r>
        <w:rPr>
          <w:spacing w:val="13"/>
          <w:sz w:val="16"/>
        </w:rPr>
        <w:t> </w:t>
      </w:r>
      <w:r>
        <w:rPr>
          <w:sz w:val="16"/>
        </w:rPr>
        <w:t>Issue</w:t>
      </w:r>
      <w:r>
        <w:rPr>
          <w:spacing w:val="16"/>
          <w:sz w:val="16"/>
        </w:rPr>
        <w:t> </w:t>
      </w:r>
      <w:r>
        <w:rPr>
          <w:spacing w:val="-10"/>
          <w:sz w:val="16"/>
        </w:rPr>
        <w:t>2</w:t>
      </w:r>
    </w:p>
    <w:p>
      <w:pPr>
        <w:spacing w:line="183" w:lineRule="exact" w:before="1"/>
        <w:ind w:left="141" w:right="0" w:firstLine="0"/>
        <w:jc w:val="both"/>
        <w:rPr>
          <w:sz w:val="16"/>
        </w:rPr>
      </w:pPr>
      <w:r>
        <w:rPr>
          <w:sz w:val="16"/>
        </w:rPr>
        <w:t>,July</w:t>
      </w:r>
      <w:r>
        <w:rPr>
          <w:spacing w:val="-8"/>
          <w:sz w:val="16"/>
        </w:rPr>
        <w:t> </w:t>
      </w:r>
      <w:r>
        <w:rPr>
          <w:sz w:val="16"/>
        </w:rPr>
        <w:t>–</w:t>
      </w:r>
      <w:r>
        <w:rPr>
          <w:spacing w:val="1"/>
          <w:sz w:val="16"/>
        </w:rPr>
        <w:t> </w:t>
      </w:r>
      <w:r>
        <w:rPr>
          <w:sz w:val="16"/>
        </w:rPr>
        <w:t>September</w:t>
      </w:r>
      <w:r>
        <w:rPr>
          <w:spacing w:val="-6"/>
          <w:sz w:val="16"/>
        </w:rPr>
        <w:t> </w:t>
      </w:r>
      <w:r>
        <w:rPr>
          <w:spacing w:val="-4"/>
          <w:sz w:val="16"/>
        </w:rPr>
        <w:t>2009</w:t>
      </w:r>
    </w:p>
    <w:p>
      <w:pPr>
        <w:pStyle w:val="ListParagraph"/>
        <w:numPr>
          <w:ilvl w:val="0"/>
          <w:numId w:val="6"/>
        </w:numPr>
        <w:tabs>
          <w:tab w:pos="385" w:val="left" w:leader="none"/>
        </w:tabs>
        <w:spacing w:line="240" w:lineRule="auto" w:before="0" w:after="0"/>
        <w:ind w:left="141" w:right="40" w:firstLine="0"/>
        <w:jc w:val="both"/>
        <w:rPr>
          <w:sz w:val="16"/>
        </w:rPr>
      </w:pPr>
      <w:r>
        <w:rPr>
          <w:sz w:val="16"/>
        </w:rPr>
        <w:t>Meyer</w:t>
      </w:r>
      <w:r>
        <w:rPr>
          <w:spacing w:val="-2"/>
          <w:sz w:val="16"/>
        </w:rPr>
        <w:t> </w:t>
      </w:r>
      <w:r>
        <w:rPr>
          <w:sz w:val="16"/>
        </w:rPr>
        <w:t>E,</w:t>
      </w:r>
      <w:r>
        <w:rPr>
          <w:spacing w:val="-3"/>
          <w:sz w:val="16"/>
        </w:rPr>
        <w:t> </w:t>
      </w:r>
      <w:r>
        <w:rPr>
          <w:sz w:val="16"/>
        </w:rPr>
        <w:t>Heinzelmann</w:t>
      </w:r>
      <w:r>
        <w:rPr>
          <w:spacing w:val="-5"/>
          <w:sz w:val="16"/>
        </w:rPr>
        <w:t> </w:t>
      </w:r>
      <w:r>
        <w:rPr>
          <w:sz w:val="16"/>
        </w:rPr>
        <w:t>H.</w:t>
      </w:r>
      <w:r>
        <w:rPr>
          <w:spacing w:val="-3"/>
          <w:sz w:val="16"/>
        </w:rPr>
        <w:t> </w:t>
      </w:r>
      <w:r>
        <w:rPr>
          <w:sz w:val="16"/>
        </w:rPr>
        <w:t>Scanning force</w:t>
      </w:r>
      <w:r>
        <w:rPr>
          <w:spacing w:val="-1"/>
          <w:sz w:val="16"/>
        </w:rPr>
        <w:t> </w:t>
      </w:r>
      <w:r>
        <w:rPr>
          <w:sz w:val="16"/>
        </w:rPr>
        <w:t>microscopy. In: Wiesendanger</w:t>
      </w:r>
      <w:r>
        <w:rPr>
          <w:spacing w:val="40"/>
          <w:sz w:val="16"/>
        </w:rPr>
        <w:t> </w:t>
      </w:r>
      <w:r>
        <w:rPr>
          <w:sz w:val="16"/>
        </w:rPr>
        <w:t>R, Guntherodt HJ, editors. Scanning tunneling microscopy II, Surface</w:t>
      </w:r>
      <w:r>
        <w:rPr>
          <w:spacing w:val="40"/>
          <w:sz w:val="16"/>
        </w:rPr>
        <w:t> </w:t>
      </w:r>
      <w:r>
        <w:rPr>
          <w:sz w:val="16"/>
        </w:rPr>
        <w:t>science. New York: Springer Verlag; 1992. pp. 99–149.</w:t>
      </w:r>
    </w:p>
    <w:p>
      <w:pPr>
        <w:pStyle w:val="ListParagraph"/>
        <w:numPr>
          <w:ilvl w:val="0"/>
          <w:numId w:val="6"/>
        </w:numPr>
        <w:tabs>
          <w:tab w:pos="399" w:val="left" w:leader="none"/>
        </w:tabs>
        <w:spacing w:line="240" w:lineRule="auto" w:before="0" w:after="0"/>
        <w:ind w:left="141" w:right="42" w:firstLine="0"/>
        <w:jc w:val="both"/>
        <w:rPr>
          <w:sz w:val="16"/>
        </w:rPr>
      </w:pPr>
      <w:r>
        <w:rPr>
          <w:sz w:val="16"/>
        </w:rPr>
        <w:t>Drake B, Prater CB, Weisenhorn AL, Gould SAC, Albrecht TR, Quate</w:t>
      </w:r>
      <w:r>
        <w:rPr>
          <w:spacing w:val="40"/>
          <w:sz w:val="16"/>
        </w:rPr>
        <w:t> </w:t>
      </w:r>
      <w:r>
        <w:rPr>
          <w:sz w:val="16"/>
        </w:rPr>
        <w:t>CF, et al. Imaging crystals polymers and process in water with the AFM.</w:t>
      </w:r>
      <w:r>
        <w:rPr>
          <w:spacing w:val="40"/>
          <w:sz w:val="16"/>
        </w:rPr>
        <w:t> </w:t>
      </w:r>
      <w:r>
        <w:rPr>
          <w:sz w:val="16"/>
        </w:rPr>
        <w:t>Science.</w:t>
      </w:r>
      <w:r>
        <w:rPr>
          <w:spacing w:val="-7"/>
          <w:sz w:val="16"/>
        </w:rPr>
        <w:t> </w:t>
      </w:r>
      <w:r>
        <w:rPr>
          <w:sz w:val="16"/>
        </w:rPr>
        <w:t>1989;243:1586–9.[PubMed]</w:t>
      </w:r>
    </w:p>
    <w:p>
      <w:pPr>
        <w:pStyle w:val="ListParagraph"/>
        <w:numPr>
          <w:ilvl w:val="0"/>
          <w:numId w:val="6"/>
        </w:numPr>
        <w:tabs>
          <w:tab w:pos="341" w:val="left" w:leader="none"/>
        </w:tabs>
        <w:spacing w:line="240" w:lineRule="auto" w:before="97" w:after="0"/>
        <w:ind w:left="141" w:right="133" w:firstLine="0"/>
        <w:jc w:val="both"/>
        <w:rPr>
          <w:sz w:val="16"/>
        </w:rPr>
      </w:pPr>
      <w:r>
        <w:rPr/>
        <w:br w:type="column"/>
      </w:r>
      <w:r>
        <w:rPr>
          <w:sz w:val="16"/>
        </w:rPr>
        <w:t>Utreja S, Jain NK. Slid liquid nanoparticles. Advances in Controlled and</w:t>
      </w:r>
      <w:r>
        <w:rPr>
          <w:spacing w:val="40"/>
          <w:sz w:val="16"/>
        </w:rPr>
        <w:t> </w:t>
      </w:r>
      <w:r>
        <w:rPr>
          <w:sz w:val="16"/>
        </w:rPr>
        <w:t>Novel Drug Delivery, CBS Publishers &amp; Distributors, New Delhi, 2001;</w:t>
      </w:r>
      <w:r>
        <w:rPr>
          <w:spacing w:val="40"/>
          <w:sz w:val="16"/>
        </w:rPr>
        <w:t> </w:t>
      </w:r>
      <w:r>
        <w:rPr>
          <w:spacing w:val="-2"/>
          <w:sz w:val="16"/>
        </w:rPr>
        <w:t>408-425.</w:t>
      </w:r>
    </w:p>
    <w:p>
      <w:pPr>
        <w:pStyle w:val="ListParagraph"/>
        <w:numPr>
          <w:ilvl w:val="0"/>
          <w:numId w:val="6"/>
        </w:numPr>
        <w:tabs>
          <w:tab w:pos="399" w:val="left" w:leader="none"/>
        </w:tabs>
        <w:spacing w:line="240" w:lineRule="auto" w:before="0" w:after="0"/>
        <w:ind w:left="141" w:right="136" w:firstLine="0"/>
        <w:jc w:val="both"/>
        <w:rPr>
          <w:sz w:val="16"/>
        </w:rPr>
      </w:pPr>
      <w:r>
        <w:rPr>
          <w:sz w:val="16"/>
        </w:rPr>
        <w:t>Ahlin P, Kristl A, Vrecer F. Ivestigation of polymeric nanoparticles as</w:t>
      </w:r>
      <w:r>
        <w:rPr>
          <w:spacing w:val="40"/>
          <w:sz w:val="16"/>
        </w:rPr>
        <w:t> </w:t>
      </w:r>
      <w:r>
        <w:rPr>
          <w:sz w:val="16"/>
        </w:rPr>
        <w:t>carriers of enalprilat or oral administration, Int. J. Phrm. 239, 2002; 113-130</w:t>
      </w:r>
    </w:p>
    <w:p>
      <w:pPr>
        <w:pStyle w:val="ListParagraph"/>
        <w:numPr>
          <w:ilvl w:val="0"/>
          <w:numId w:val="6"/>
        </w:numPr>
        <w:tabs>
          <w:tab w:pos="447" w:val="left" w:leader="none"/>
        </w:tabs>
        <w:spacing w:line="240" w:lineRule="auto" w:before="1" w:after="0"/>
        <w:ind w:left="141" w:right="139" w:firstLine="0"/>
        <w:jc w:val="both"/>
        <w:rPr>
          <w:sz w:val="16"/>
        </w:rPr>
      </w:pPr>
      <w:r>
        <w:rPr>
          <w:sz w:val="16"/>
        </w:rPr>
        <w:t>Jannin V, Musakhanian J, Marchaud D. Approach for the development</w:t>
      </w:r>
      <w:r>
        <w:rPr>
          <w:spacing w:val="40"/>
          <w:sz w:val="16"/>
        </w:rPr>
        <w:t> </w:t>
      </w:r>
      <w:r>
        <w:rPr>
          <w:sz w:val="16"/>
        </w:rPr>
        <w:t>of solid and semi-solid lipid-based formulations. Adv Drug Deliv Rev.</w:t>
      </w:r>
      <w:r>
        <w:rPr>
          <w:spacing w:val="40"/>
          <w:sz w:val="16"/>
        </w:rPr>
        <w:t> </w:t>
      </w:r>
      <w:r>
        <w:rPr>
          <w:spacing w:val="-2"/>
          <w:sz w:val="16"/>
        </w:rPr>
        <w:t>2008;60:734–47.[PubMed]</w:t>
      </w:r>
    </w:p>
    <w:p>
      <w:pPr>
        <w:pStyle w:val="ListParagraph"/>
        <w:numPr>
          <w:ilvl w:val="0"/>
          <w:numId w:val="6"/>
        </w:numPr>
        <w:tabs>
          <w:tab w:pos="385" w:val="left" w:leader="none"/>
        </w:tabs>
        <w:spacing w:line="240" w:lineRule="auto" w:before="1" w:after="0"/>
        <w:ind w:left="141" w:right="133" w:firstLine="0"/>
        <w:jc w:val="both"/>
        <w:rPr>
          <w:sz w:val="16"/>
        </w:rPr>
      </w:pPr>
      <w:r>
        <w:rPr>
          <w:sz w:val="16"/>
        </w:rPr>
        <w:t>ManjunathK,</w:t>
      </w:r>
      <w:r>
        <w:rPr>
          <w:spacing w:val="-1"/>
          <w:sz w:val="16"/>
        </w:rPr>
        <w:t> </w:t>
      </w:r>
      <w:r>
        <w:rPr>
          <w:sz w:val="16"/>
        </w:rPr>
        <w:t>Vnkateshvarlu V.</w:t>
      </w:r>
      <w:r>
        <w:rPr>
          <w:spacing w:val="-1"/>
          <w:sz w:val="16"/>
        </w:rPr>
        <w:t> </w:t>
      </w:r>
      <w:r>
        <w:rPr>
          <w:sz w:val="16"/>
        </w:rPr>
        <w:t>Pharmacokinetics,</w:t>
      </w:r>
      <w:r>
        <w:rPr>
          <w:spacing w:val="-4"/>
          <w:sz w:val="16"/>
        </w:rPr>
        <w:t> </w:t>
      </w:r>
      <w:r>
        <w:rPr>
          <w:sz w:val="16"/>
        </w:rPr>
        <w:t>tissue</w:t>
      </w:r>
      <w:r>
        <w:rPr>
          <w:spacing w:val="-3"/>
          <w:sz w:val="16"/>
        </w:rPr>
        <w:t> </w:t>
      </w:r>
      <w:r>
        <w:rPr>
          <w:sz w:val="16"/>
        </w:rPr>
        <w:t>distribution</w:t>
      </w:r>
      <w:r>
        <w:rPr>
          <w:spacing w:val="-6"/>
          <w:sz w:val="16"/>
        </w:rPr>
        <w:t> </w:t>
      </w:r>
      <w:r>
        <w:rPr>
          <w:sz w:val="16"/>
        </w:rPr>
        <w:t>and</w:t>
      </w:r>
      <w:r>
        <w:rPr>
          <w:spacing w:val="40"/>
          <w:sz w:val="16"/>
        </w:rPr>
        <w:t> </w:t>
      </w:r>
      <w:r>
        <w:rPr>
          <w:sz w:val="16"/>
        </w:rPr>
        <w:t>bioavailability of clozapine solid liquid nanoparticles after intravenous and</w:t>
      </w:r>
      <w:r>
        <w:rPr>
          <w:spacing w:val="40"/>
          <w:sz w:val="16"/>
        </w:rPr>
        <w:t> </w:t>
      </w:r>
      <w:r>
        <w:rPr>
          <w:sz w:val="16"/>
        </w:rPr>
        <w:t>intradeudoneal</w:t>
      </w:r>
      <w:r>
        <w:rPr>
          <w:spacing w:val="-5"/>
          <w:sz w:val="16"/>
        </w:rPr>
        <w:t> </w:t>
      </w:r>
      <w:r>
        <w:rPr>
          <w:sz w:val="16"/>
        </w:rPr>
        <w:t>administration.</w:t>
      </w:r>
      <w:r>
        <w:rPr>
          <w:spacing w:val="1"/>
          <w:sz w:val="16"/>
        </w:rPr>
        <w:t> </w:t>
      </w:r>
      <w:r>
        <w:rPr>
          <w:sz w:val="16"/>
        </w:rPr>
        <w:t>Journal</w:t>
      </w:r>
      <w:r>
        <w:rPr>
          <w:spacing w:val="1"/>
          <w:sz w:val="16"/>
        </w:rPr>
        <w:t> </w:t>
      </w:r>
      <w:r>
        <w:rPr>
          <w:sz w:val="16"/>
        </w:rPr>
        <w:t>of</w:t>
      </w:r>
      <w:r>
        <w:rPr>
          <w:spacing w:val="-8"/>
          <w:sz w:val="16"/>
        </w:rPr>
        <w:t> </w:t>
      </w:r>
      <w:r>
        <w:rPr>
          <w:sz w:val="16"/>
        </w:rPr>
        <w:t>Controlled</w:t>
      </w:r>
      <w:r>
        <w:rPr>
          <w:spacing w:val="-5"/>
          <w:sz w:val="16"/>
        </w:rPr>
        <w:t> </w:t>
      </w:r>
      <w:r>
        <w:rPr>
          <w:sz w:val="16"/>
        </w:rPr>
        <w:t>Release</w:t>
      </w:r>
      <w:r>
        <w:rPr>
          <w:spacing w:val="-6"/>
          <w:sz w:val="16"/>
        </w:rPr>
        <w:t> </w:t>
      </w:r>
      <w:r>
        <w:rPr>
          <w:sz w:val="16"/>
        </w:rPr>
        <w:t>107,</w:t>
      </w:r>
      <w:r>
        <w:rPr>
          <w:spacing w:val="-4"/>
          <w:sz w:val="16"/>
        </w:rPr>
        <w:t> </w:t>
      </w:r>
      <w:r>
        <w:rPr>
          <w:sz w:val="16"/>
        </w:rPr>
        <w:t>2005;</w:t>
      </w:r>
      <w:r>
        <w:rPr>
          <w:spacing w:val="-4"/>
          <w:sz w:val="16"/>
        </w:rPr>
        <w:t> 215-</w:t>
      </w:r>
    </w:p>
    <w:p>
      <w:pPr>
        <w:spacing w:line="183" w:lineRule="exact" w:before="0"/>
        <w:ind w:left="141" w:right="0" w:firstLine="0"/>
        <w:jc w:val="left"/>
        <w:rPr>
          <w:sz w:val="16"/>
        </w:rPr>
      </w:pPr>
      <w:r>
        <w:rPr>
          <w:spacing w:val="-4"/>
          <w:sz w:val="16"/>
        </w:rPr>
        <w:t>228.</w:t>
      </w:r>
    </w:p>
    <w:p>
      <w:pPr>
        <w:pStyle w:val="ListParagraph"/>
        <w:numPr>
          <w:ilvl w:val="0"/>
          <w:numId w:val="6"/>
        </w:numPr>
        <w:tabs>
          <w:tab w:pos="341" w:val="left" w:leader="none"/>
        </w:tabs>
        <w:spacing w:line="240" w:lineRule="auto" w:before="0" w:after="0"/>
        <w:ind w:left="141" w:right="137" w:firstLine="0"/>
        <w:jc w:val="left"/>
        <w:rPr>
          <w:sz w:val="16"/>
        </w:rPr>
      </w:pPr>
      <w:r>
        <w:rPr>
          <w:sz w:val="16"/>
        </w:rPr>
        <w:t>Jenning</w:t>
      </w:r>
      <w:r>
        <w:rPr>
          <w:spacing w:val="40"/>
          <w:sz w:val="16"/>
        </w:rPr>
        <w:t> </w:t>
      </w:r>
      <w:r>
        <w:rPr>
          <w:sz w:val="16"/>
        </w:rPr>
        <w:t>V.</w:t>
      </w:r>
      <w:r>
        <w:rPr>
          <w:spacing w:val="40"/>
          <w:sz w:val="16"/>
        </w:rPr>
        <w:t> </w:t>
      </w:r>
      <w:r>
        <w:rPr>
          <w:sz w:val="16"/>
        </w:rPr>
        <w:t>Feste</w:t>
      </w:r>
      <w:r>
        <w:rPr>
          <w:spacing w:val="40"/>
          <w:sz w:val="16"/>
        </w:rPr>
        <w:t> </w:t>
      </w:r>
      <w:r>
        <w:rPr>
          <w:sz w:val="16"/>
        </w:rPr>
        <w:t>lipid</w:t>
      </w:r>
      <w:r>
        <w:rPr>
          <w:spacing w:val="40"/>
          <w:sz w:val="16"/>
        </w:rPr>
        <w:t> </w:t>
      </w:r>
      <w:r>
        <w:rPr>
          <w:sz w:val="16"/>
        </w:rPr>
        <w:t>nanopartikelals</w:t>
      </w:r>
      <w:r>
        <w:rPr>
          <w:spacing w:val="40"/>
          <w:sz w:val="16"/>
        </w:rPr>
        <w:t> </w:t>
      </w:r>
      <w:r>
        <w:rPr>
          <w:sz w:val="16"/>
        </w:rPr>
        <w:t>tragersystem</w:t>
      </w:r>
      <w:r>
        <w:rPr>
          <w:spacing w:val="40"/>
          <w:sz w:val="16"/>
        </w:rPr>
        <w:t> </w:t>
      </w:r>
      <w:r>
        <w:rPr>
          <w:sz w:val="16"/>
        </w:rPr>
        <w:t>furdie</w:t>
      </w:r>
      <w:r>
        <w:rPr>
          <w:spacing w:val="40"/>
          <w:sz w:val="16"/>
        </w:rPr>
        <w:t> </w:t>
      </w:r>
      <w:r>
        <w:rPr>
          <w:sz w:val="16"/>
        </w:rPr>
        <w:t>dermale</w:t>
      </w:r>
      <w:r>
        <w:rPr>
          <w:spacing w:val="40"/>
          <w:sz w:val="16"/>
        </w:rPr>
        <w:t> </w:t>
      </w:r>
      <w:r>
        <w:rPr>
          <w:sz w:val="16"/>
        </w:rPr>
        <w:t>applikation von retinol. Ph.D. thesis. Free University of Berlin, 1999.</w:t>
      </w:r>
    </w:p>
    <w:p>
      <w:pPr>
        <w:pStyle w:val="ListParagraph"/>
        <w:numPr>
          <w:ilvl w:val="0"/>
          <w:numId w:val="6"/>
        </w:numPr>
        <w:tabs>
          <w:tab w:pos="485" w:val="left" w:leader="none"/>
        </w:tabs>
        <w:spacing w:line="240" w:lineRule="auto" w:before="0" w:after="0"/>
        <w:ind w:left="141" w:right="137" w:firstLine="0"/>
        <w:jc w:val="both"/>
        <w:rPr>
          <w:sz w:val="16"/>
        </w:rPr>
      </w:pPr>
      <w:r>
        <w:rPr>
          <w:sz w:val="16"/>
        </w:rPr>
        <w:t>Solid lipid nanoparticles :A promising tool for drug delivery system</w:t>
      </w:r>
      <w:r>
        <w:rPr>
          <w:spacing w:val="40"/>
          <w:sz w:val="16"/>
        </w:rPr>
        <w:t> </w:t>
      </w:r>
      <w:r>
        <w:rPr>
          <w:sz w:val="16"/>
        </w:rPr>
        <w:t>Biswajit Basu*, Kevin</w:t>
      </w:r>
      <w:r>
        <w:rPr>
          <w:spacing w:val="-1"/>
          <w:sz w:val="16"/>
        </w:rPr>
        <w:t> </w:t>
      </w:r>
      <w:r>
        <w:rPr>
          <w:sz w:val="16"/>
        </w:rPr>
        <w:t>Garala, Ravi Bhalodia, Bhavik Joshi, Kuldeep Mehta</w:t>
      </w:r>
      <w:r>
        <w:rPr>
          <w:spacing w:val="40"/>
          <w:sz w:val="16"/>
        </w:rPr>
        <w:t> </w:t>
      </w:r>
      <w:r>
        <w:rPr>
          <w:sz w:val="16"/>
        </w:rPr>
        <w:t>Journal of Pharmacy Research 2010, 3(1),84-92</w:t>
      </w:r>
    </w:p>
    <w:p>
      <w:pPr>
        <w:pStyle w:val="ListParagraph"/>
        <w:spacing w:after="0" w:line="240" w:lineRule="auto"/>
        <w:jc w:val="both"/>
        <w:rPr>
          <w:sz w:val="16"/>
        </w:rPr>
        <w:sectPr>
          <w:pgSz w:w="11900" w:h="16820"/>
          <w:pgMar w:header="609" w:footer="849" w:top="1080" w:bottom="1040" w:left="708" w:right="708"/>
          <w:cols w:num="2" w:equalWidth="0">
            <w:col w:w="5143" w:space="104"/>
            <w:col w:w="5237"/>
          </w:cols>
        </w:sectPr>
      </w:pPr>
    </w:p>
    <w:p>
      <w:pPr>
        <w:pStyle w:val="BodyText"/>
        <w:ind w:left="0"/>
        <w:jc w:val="left"/>
        <w:rPr>
          <w:sz w:val="16"/>
        </w:rPr>
      </w:pPr>
    </w:p>
    <w:p>
      <w:pPr>
        <w:pStyle w:val="BodyText"/>
        <w:spacing w:before="45"/>
        <w:ind w:left="0"/>
        <w:jc w:val="left"/>
        <w:rPr>
          <w:sz w:val="16"/>
        </w:rPr>
      </w:pPr>
    </w:p>
    <w:p>
      <w:pPr>
        <w:spacing w:before="0" w:after="4"/>
        <w:ind w:left="7" w:right="4" w:firstLine="0"/>
        <w:jc w:val="center"/>
        <w:rPr>
          <w:sz w:val="16"/>
        </w:rPr>
      </w:pPr>
      <w:r>
        <w:rPr>
          <w:b/>
          <w:sz w:val="16"/>
        </w:rPr>
        <w:t>Table</w:t>
      </w:r>
      <w:r>
        <w:rPr>
          <w:b/>
          <w:spacing w:val="-2"/>
          <w:sz w:val="16"/>
        </w:rPr>
        <w:t> </w:t>
      </w:r>
      <w:r>
        <w:rPr>
          <w:b/>
          <w:sz w:val="16"/>
        </w:rPr>
        <w:t>1:</w:t>
      </w:r>
      <w:r>
        <w:rPr>
          <w:b/>
          <w:spacing w:val="-3"/>
          <w:sz w:val="16"/>
        </w:rPr>
        <w:t> </w:t>
      </w:r>
      <w:r>
        <w:rPr>
          <w:sz w:val="16"/>
        </w:rPr>
        <w:t>Lipids</w:t>
      </w:r>
      <w:r>
        <w:rPr>
          <w:spacing w:val="-7"/>
          <w:sz w:val="16"/>
        </w:rPr>
        <w:t> </w:t>
      </w:r>
      <w:r>
        <w:rPr>
          <w:sz w:val="16"/>
        </w:rPr>
        <w:t>and</w:t>
      </w:r>
      <w:r>
        <w:rPr>
          <w:spacing w:val="-2"/>
          <w:sz w:val="16"/>
        </w:rPr>
        <w:t> </w:t>
      </w:r>
      <w:r>
        <w:rPr>
          <w:sz w:val="16"/>
        </w:rPr>
        <w:t>emulsifiers</w:t>
      </w:r>
      <w:r>
        <w:rPr>
          <w:spacing w:val="-7"/>
          <w:sz w:val="16"/>
        </w:rPr>
        <w:t> </w:t>
      </w:r>
      <w:r>
        <w:rPr>
          <w:sz w:val="16"/>
        </w:rPr>
        <w:t>used</w:t>
      </w:r>
      <w:r>
        <w:rPr>
          <w:spacing w:val="3"/>
          <w:sz w:val="16"/>
        </w:rPr>
        <w:t> </w:t>
      </w:r>
      <w:r>
        <w:rPr>
          <w:sz w:val="16"/>
        </w:rPr>
        <w:t>for</w:t>
      </w:r>
      <w:r>
        <w:rPr>
          <w:spacing w:val="2"/>
          <w:sz w:val="16"/>
        </w:rPr>
        <w:t> </w:t>
      </w:r>
      <w:r>
        <w:rPr>
          <w:sz w:val="16"/>
        </w:rPr>
        <w:t>preparation</w:t>
      </w:r>
      <w:r>
        <w:rPr>
          <w:spacing w:val="-2"/>
          <w:sz w:val="16"/>
        </w:rPr>
        <w:t> </w:t>
      </w:r>
      <w:r>
        <w:rPr>
          <w:sz w:val="16"/>
        </w:rPr>
        <w:t>of</w:t>
      </w:r>
      <w:r>
        <w:rPr>
          <w:spacing w:val="-3"/>
          <w:sz w:val="16"/>
        </w:rPr>
        <w:t> </w:t>
      </w:r>
      <w:r>
        <w:rPr>
          <w:sz w:val="16"/>
        </w:rPr>
        <w:t>solid</w:t>
      </w:r>
      <w:r>
        <w:rPr>
          <w:spacing w:val="-5"/>
          <w:sz w:val="16"/>
        </w:rPr>
        <w:t> </w:t>
      </w:r>
      <w:r>
        <w:rPr>
          <w:sz w:val="16"/>
        </w:rPr>
        <w:t>lipid</w:t>
      </w:r>
      <w:r>
        <w:rPr>
          <w:spacing w:val="-2"/>
          <w:sz w:val="16"/>
        </w:rPr>
        <w:t> nanoparticles</w:t>
      </w:r>
    </w:p>
    <w:tbl>
      <w:tblPr>
        <w:tblW w:w="0" w:type="auto"/>
        <w:jc w:val="left"/>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0"/>
        <w:gridCol w:w="3087"/>
        <w:gridCol w:w="2017"/>
      </w:tblGrid>
      <w:tr>
        <w:trPr>
          <w:trHeight w:val="186" w:hRule="atLeast"/>
        </w:trPr>
        <w:tc>
          <w:tcPr>
            <w:tcW w:w="3010" w:type="dxa"/>
          </w:tcPr>
          <w:p>
            <w:pPr>
              <w:pStyle w:val="TableParagraph"/>
              <w:spacing w:line="167" w:lineRule="exact"/>
              <w:ind w:left="6" w:right="9"/>
              <w:rPr>
                <w:b/>
                <w:sz w:val="16"/>
              </w:rPr>
            </w:pPr>
            <w:r>
              <w:rPr>
                <w:b/>
                <w:spacing w:val="-2"/>
                <w:sz w:val="16"/>
              </w:rPr>
              <w:t>Lipids</w:t>
            </w:r>
          </w:p>
        </w:tc>
        <w:tc>
          <w:tcPr>
            <w:tcW w:w="3087" w:type="dxa"/>
          </w:tcPr>
          <w:p>
            <w:pPr>
              <w:pStyle w:val="TableParagraph"/>
              <w:spacing w:line="167" w:lineRule="exact"/>
              <w:ind w:left="8" w:right="8"/>
              <w:rPr>
                <w:b/>
                <w:sz w:val="16"/>
              </w:rPr>
            </w:pPr>
            <w:r>
              <w:rPr>
                <w:b/>
                <w:sz w:val="16"/>
              </w:rPr>
              <w:t>Hard</w:t>
            </w:r>
            <w:r>
              <w:rPr>
                <w:b/>
                <w:spacing w:val="-9"/>
                <w:sz w:val="16"/>
              </w:rPr>
              <w:t> </w:t>
            </w:r>
            <w:r>
              <w:rPr>
                <w:b/>
                <w:spacing w:val="-4"/>
                <w:sz w:val="16"/>
              </w:rPr>
              <w:t>fats</w:t>
            </w:r>
          </w:p>
        </w:tc>
        <w:tc>
          <w:tcPr>
            <w:tcW w:w="2017" w:type="dxa"/>
          </w:tcPr>
          <w:p>
            <w:pPr>
              <w:pStyle w:val="TableParagraph"/>
              <w:spacing w:line="167" w:lineRule="exact"/>
              <w:ind w:right="0"/>
              <w:rPr>
                <w:b/>
                <w:sz w:val="16"/>
              </w:rPr>
            </w:pPr>
            <w:r>
              <w:rPr>
                <w:b/>
                <w:spacing w:val="-2"/>
                <w:sz w:val="16"/>
              </w:rPr>
              <w:t>Emulsifiers/Coemulsifiers</w:t>
            </w:r>
          </w:p>
        </w:tc>
      </w:tr>
      <w:tr>
        <w:trPr>
          <w:trHeight w:val="306" w:hRule="atLeast"/>
        </w:trPr>
        <w:tc>
          <w:tcPr>
            <w:tcW w:w="3010" w:type="dxa"/>
          </w:tcPr>
          <w:p>
            <w:pPr>
              <w:pStyle w:val="TableParagraph"/>
              <w:ind w:left="6" w:right="3"/>
              <w:rPr>
                <w:sz w:val="16"/>
              </w:rPr>
            </w:pPr>
            <w:r>
              <w:rPr>
                <w:sz w:val="16"/>
              </w:rPr>
              <w:t>Non-</w:t>
            </w:r>
            <w:r>
              <w:rPr>
                <w:spacing w:val="-5"/>
                <w:sz w:val="16"/>
              </w:rPr>
              <w:t> </w:t>
            </w:r>
            <w:r>
              <w:rPr>
                <w:sz w:val="16"/>
              </w:rPr>
              <w:t>Digestible</w:t>
            </w:r>
            <w:r>
              <w:rPr>
                <w:spacing w:val="-7"/>
                <w:sz w:val="16"/>
              </w:rPr>
              <w:t> </w:t>
            </w:r>
            <w:r>
              <w:rPr>
                <w:spacing w:val="-2"/>
                <w:sz w:val="16"/>
              </w:rPr>
              <w:t>lipids</w:t>
            </w:r>
          </w:p>
        </w:tc>
        <w:tc>
          <w:tcPr>
            <w:tcW w:w="3087" w:type="dxa"/>
          </w:tcPr>
          <w:p>
            <w:pPr>
              <w:pStyle w:val="TableParagraph"/>
              <w:ind w:left="8" w:right="9"/>
              <w:rPr>
                <w:sz w:val="16"/>
              </w:rPr>
            </w:pPr>
            <w:r>
              <w:rPr>
                <w:sz w:val="16"/>
              </w:rPr>
              <w:t>Witepsol</w:t>
            </w:r>
            <w:r>
              <w:rPr>
                <w:spacing w:val="-4"/>
                <w:sz w:val="16"/>
              </w:rPr>
              <w:t> </w:t>
            </w:r>
            <w:r>
              <w:rPr>
                <w:sz w:val="16"/>
              </w:rPr>
              <w:t>W</w:t>
            </w:r>
            <w:r>
              <w:rPr>
                <w:spacing w:val="-8"/>
                <w:sz w:val="16"/>
              </w:rPr>
              <w:t> </w:t>
            </w:r>
            <w:r>
              <w:rPr>
                <w:spacing w:val="-5"/>
                <w:sz w:val="16"/>
              </w:rPr>
              <w:t>35</w:t>
            </w:r>
          </w:p>
        </w:tc>
        <w:tc>
          <w:tcPr>
            <w:tcW w:w="2017" w:type="dxa"/>
          </w:tcPr>
          <w:p>
            <w:pPr>
              <w:pStyle w:val="TableParagraph"/>
              <w:ind w:right="1"/>
              <w:rPr>
                <w:sz w:val="16"/>
              </w:rPr>
            </w:pPr>
            <w:r>
              <w:rPr>
                <w:sz w:val="16"/>
              </w:rPr>
              <w:t>Soy</w:t>
            </w:r>
            <w:r>
              <w:rPr>
                <w:spacing w:val="-7"/>
                <w:sz w:val="16"/>
              </w:rPr>
              <w:t> </w:t>
            </w:r>
            <w:r>
              <w:rPr>
                <w:spacing w:val="-2"/>
                <w:sz w:val="16"/>
              </w:rPr>
              <w:t>lecithin</w:t>
            </w:r>
          </w:p>
        </w:tc>
      </w:tr>
      <w:tr>
        <w:trPr>
          <w:trHeight w:val="321" w:hRule="atLeast"/>
        </w:trPr>
        <w:tc>
          <w:tcPr>
            <w:tcW w:w="3010" w:type="dxa"/>
          </w:tcPr>
          <w:p>
            <w:pPr>
              <w:pStyle w:val="TableParagraph"/>
              <w:ind w:left="6" w:right="3"/>
              <w:rPr>
                <w:sz w:val="16"/>
              </w:rPr>
            </w:pPr>
            <w:r>
              <w:rPr>
                <w:sz w:val="16"/>
              </w:rPr>
              <w:t>Mineral</w:t>
            </w:r>
            <w:r>
              <w:rPr>
                <w:spacing w:val="-8"/>
                <w:sz w:val="16"/>
              </w:rPr>
              <w:t> </w:t>
            </w:r>
            <w:r>
              <w:rPr>
                <w:spacing w:val="-4"/>
                <w:sz w:val="16"/>
              </w:rPr>
              <w:t>oils</w:t>
            </w:r>
          </w:p>
        </w:tc>
        <w:tc>
          <w:tcPr>
            <w:tcW w:w="3087" w:type="dxa"/>
          </w:tcPr>
          <w:p>
            <w:pPr>
              <w:pStyle w:val="TableParagraph"/>
              <w:ind w:left="8" w:right="3"/>
              <w:rPr>
                <w:sz w:val="16"/>
              </w:rPr>
            </w:pPr>
            <w:r>
              <w:rPr>
                <w:sz w:val="16"/>
              </w:rPr>
              <w:t>Witepsol</w:t>
            </w:r>
            <w:r>
              <w:rPr>
                <w:spacing w:val="-3"/>
                <w:sz w:val="16"/>
              </w:rPr>
              <w:t> </w:t>
            </w:r>
            <w:r>
              <w:rPr>
                <w:sz w:val="16"/>
              </w:rPr>
              <w:t>S</w:t>
            </w:r>
            <w:r>
              <w:rPr>
                <w:spacing w:val="-4"/>
                <w:sz w:val="16"/>
              </w:rPr>
              <w:t> </w:t>
            </w:r>
            <w:r>
              <w:rPr>
                <w:spacing w:val="-5"/>
                <w:sz w:val="16"/>
              </w:rPr>
              <w:t>35</w:t>
            </w:r>
          </w:p>
        </w:tc>
        <w:tc>
          <w:tcPr>
            <w:tcW w:w="2017" w:type="dxa"/>
          </w:tcPr>
          <w:p>
            <w:pPr>
              <w:pStyle w:val="TableParagraph"/>
              <w:ind w:right="1"/>
              <w:rPr>
                <w:sz w:val="16"/>
              </w:rPr>
            </w:pPr>
            <w:r>
              <w:rPr>
                <w:sz w:val="16"/>
              </w:rPr>
              <w:t>Egg</w:t>
            </w:r>
            <w:r>
              <w:rPr>
                <w:spacing w:val="-6"/>
                <w:sz w:val="16"/>
              </w:rPr>
              <w:t> </w:t>
            </w:r>
            <w:r>
              <w:rPr>
                <w:spacing w:val="-2"/>
                <w:sz w:val="16"/>
              </w:rPr>
              <w:t>lecithin</w:t>
            </w:r>
          </w:p>
        </w:tc>
      </w:tr>
      <w:tr>
        <w:trPr>
          <w:trHeight w:val="340" w:hRule="atLeast"/>
        </w:trPr>
        <w:tc>
          <w:tcPr>
            <w:tcW w:w="3010" w:type="dxa"/>
          </w:tcPr>
          <w:p>
            <w:pPr>
              <w:pStyle w:val="TableParagraph"/>
              <w:ind w:left="6" w:right="7"/>
              <w:rPr>
                <w:sz w:val="16"/>
              </w:rPr>
            </w:pPr>
            <w:r>
              <w:rPr>
                <w:sz w:val="16"/>
              </w:rPr>
              <w:t>Sucrose</w:t>
            </w:r>
            <w:r>
              <w:rPr>
                <w:spacing w:val="-4"/>
                <w:sz w:val="16"/>
              </w:rPr>
              <w:t> </w:t>
            </w:r>
            <w:r>
              <w:rPr>
                <w:spacing w:val="-2"/>
                <w:sz w:val="16"/>
              </w:rPr>
              <w:t>polyesters</w:t>
            </w:r>
          </w:p>
        </w:tc>
        <w:tc>
          <w:tcPr>
            <w:tcW w:w="3087" w:type="dxa"/>
          </w:tcPr>
          <w:p>
            <w:pPr>
              <w:pStyle w:val="TableParagraph"/>
              <w:ind w:left="8" w:right="8"/>
              <w:rPr>
                <w:sz w:val="16"/>
              </w:rPr>
            </w:pPr>
            <w:r>
              <w:rPr>
                <w:sz w:val="16"/>
              </w:rPr>
              <w:t>Witepsol</w:t>
            </w:r>
            <w:r>
              <w:rPr>
                <w:spacing w:val="-4"/>
                <w:sz w:val="16"/>
              </w:rPr>
              <w:t> </w:t>
            </w:r>
            <w:r>
              <w:rPr>
                <w:sz w:val="16"/>
              </w:rPr>
              <w:t>H</w:t>
            </w:r>
            <w:r>
              <w:rPr>
                <w:spacing w:val="-5"/>
                <w:sz w:val="16"/>
              </w:rPr>
              <w:t> 42</w:t>
            </w:r>
          </w:p>
        </w:tc>
        <w:tc>
          <w:tcPr>
            <w:tcW w:w="2017" w:type="dxa"/>
          </w:tcPr>
          <w:p>
            <w:pPr>
              <w:pStyle w:val="TableParagraph"/>
              <w:ind w:right="1"/>
              <w:rPr>
                <w:sz w:val="16"/>
              </w:rPr>
            </w:pPr>
            <w:r>
              <w:rPr>
                <w:spacing w:val="-2"/>
                <w:sz w:val="16"/>
              </w:rPr>
              <w:t>Phosphatidylcholine</w:t>
            </w:r>
          </w:p>
        </w:tc>
      </w:tr>
      <w:tr>
        <w:trPr>
          <w:trHeight w:val="239" w:hRule="atLeast"/>
        </w:trPr>
        <w:tc>
          <w:tcPr>
            <w:tcW w:w="3010" w:type="dxa"/>
          </w:tcPr>
          <w:p>
            <w:pPr>
              <w:pStyle w:val="TableParagraph"/>
              <w:ind w:left="6" w:right="7"/>
              <w:rPr>
                <w:sz w:val="16"/>
              </w:rPr>
            </w:pPr>
            <w:r>
              <w:rPr>
                <w:sz w:val="16"/>
              </w:rPr>
              <w:t>Digestible</w:t>
            </w:r>
            <w:r>
              <w:rPr>
                <w:spacing w:val="-6"/>
                <w:sz w:val="16"/>
              </w:rPr>
              <w:t> </w:t>
            </w:r>
            <w:r>
              <w:rPr>
                <w:spacing w:val="-2"/>
                <w:sz w:val="16"/>
              </w:rPr>
              <w:t>lipids</w:t>
            </w:r>
          </w:p>
        </w:tc>
        <w:tc>
          <w:tcPr>
            <w:tcW w:w="3087" w:type="dxa"/>
          </w:tcPr>
          <w:p>
            <w:pPr>
              <w:pStyle w:val="TableParagraph"/>
              <w:ind w:left="8" w:right="8"/>
              <w:rPr>
                <w:sz w:val="16"/>
              </w:rPr>
            </w:pPr>
            <w:r>
              <w:rPr>
                <w:sz w:val="16"/>
              </w:rPr>
              <w:t>Witepsol</w:t>
            </w:r>
            <w:r>
              <w:rPr>
                <w:spacing w:val="-4"/>
                <w:sz w:val="16"/>
              </w:rPr>
              <w:t> </w:t>
            </w:r>
            <w:r>
              <w:rPr>
                <w:sz w:val="16"/>
              </w:rPr>
              <w:t>E</w:t>
            </w:r>
            <w:r>
              <w:rPr>
                <w:spacing w:val="-7"/>
                <w:sz w:val="16"/>
              </w:rPr>
              <w:t> </w:t>
            </w:r>
            <w:r>
              <w:rPr>
                <w:spacing w:val="-5"/>
                <w:sz w:val="16"/>
              </w:rPr>
              <w:t>85</w:t>
            </w:r>
          </w:p>
        </w:tc>
        <w:tc>
          <w:tcPr>
            <w:tcW w:w="2017" w:type="dxa"/>
          </w:tcPr>
          <w:p>
            <w:pPr>
              <w:pStyle w:val="TableParagraph"/>
              <w:rPr>
                <w:sz w:val="16"/>
              </w:rPr>
            </w:pPr>
            <w:r>
              <w:rPr>
                <w:sz w:val="16"/>
              </w:rPr>
              <w:t>Poloxamer</w:t>
            </w:r>
            <w:r>
              <w:rPr>
                <w:spacing w:val="-8"/>
                <w:sz w:val="16"/>
              </w:rPr>
              <w:t> </w:t>
            </w:r>
            <w:r>
              <w:rPr>
                <w:spacing w:val="-5"/>
                <w:sz w:val="16"/>
              </w:rPr>
              <w:t>188</w:t>
            </w:r>
          </w:p>
        </w:tc>
      </w:tr>
      <w:tr>
        <w:trPr>
          <w:trHeight w:val="268" w:hRule="atLeast"/>
        </w:trPr>
        <w:tc>
          <w:tcPr>
            <w:tcW w:w="3010" w:type="dxa"/>
          </w:tcPr>
          <w:p>
            <w:pPr>
              <w:pStyle w:val="TableParagraph"/>
              <w:ind w:left="6" w:right="3"/>
              <w:rPr>
                <w:sz w:val="16"/>
              </w:rPr>
            </w:pPr>
            <w:r>
              <w:rPr>
                <w:spacing w:val="-2"/>
                <w:sz w:val="16"/>
              </w:rPr>
              <w:t>Triglycerides</w:t>
            </w:r>
          </w:p>
        </w:tc>
        <w:tc>
          <w:tcPr>
            <w:tcW w:w="3087" w:type="dxa"/>
          </w:tcPr>
          <w:p>
            <w:pPr>
              <w:pStyle w:val="TableParagraph"/>
              <w:ind w:left="9" w:right="1"/>
              <w:rPr>
                <w:sz w:val="16"/>
              </w:rPr>
            </w:pPr>
            <w:r>
              <w:rPr>
                <w:sz w:val="16"/>
              </w:rPr>
              <w:t>Glyceryl</w:t>
            </w:r>
            <w:r>
              <w:rPr>
                <w:spacing w:val="-2"/>
                <w:sz w:val="16"/>
              </w:rPr>
              <w:t> </w:t>
            </w:r>
            <w:r>
              <w:rPr>
                <w:sz w:val="16"/>
              </w:rPr>
              <w:t>mono</w:t>
            </w:r>
            <w:r>
              <w:rPr>
                <w:spacing w:val="-4"/>
                <w:sz w:val="16"/>
              </w:rPr>
              <w:t> </w:t>
            </w:r>
            <w:r>
              <w:rPr>
                <w:sz w:val="16"/>
              </w:rPr>
              <w:t>stearate</w:t>
            </w:r>
            <w:r>
              <w:rPr>
                <w:spacing w:val="-8"/>
                <w:sz w:val="16"/>
              </w:rPr>
              <w:t> </w:t>
            </w:r>
            <w:r>
              <w:rPr>
                <w:sz w:val="16"/>
              </w:rPr>
              <w:t>(Imwitor</w:t>
            </w:r>
            <w:r>
              <w:rPr>
                <w:spacing w:val="-5"/>
                <w:sz w:val="16"/>
              </w:rPr>
              <w:t> </w:t>
            </w:r>
            <w:r>
              <w:rPr>
                <w:spacing w:val="-4"/>
                <w:sz w:val="16"/>
              </w:rPr>
              <w:t>900)</w:t>
            </w:r>
          </w:p>
        </w:tc>
        <w:tc>
          <w:tcPr>
            <w:tcW w:w="2017" w:type="dxa"/>
          </w:tcPr>
          <w:p>
            <w:pPr>
              <w:pStyle w:val="TableParagraph"/>
              <w:rPr>
                <w:sz w:val="16"/>
              </w:rPr>
            </w:pPr>
            <w:r>
              <w:rPr>
                <w:sz w:val="16"/>
              </w:rPr>
              <w:t>Poloxamer</w:t>
            </w:r>
            <w:r>
              <w:rPr>
                <w:spacing w:val="-8"/>
                <w:sz w:val="16"/>
              </w:rPr>
              <w:t> </w:t>
            </w:r>
            <w:r>
              <w:rPr>
                <w:spacing w:val="-5"/>
                <w:sz w:val="16"/>
              </w:rPr>
              <w:t>182</w:t>
            </w:r>
          </w:p>
        </w:tc>
      </w:tr>
      <w:tr>
        <w:trPr>
          <w:trHeight w:val="297" w:hRule="atLeast"/>
        </w:trPr>
        <w:tc>
          <w:tcPr>
            <w:tcW w:w="3010" w:type="dxa"/>
          </w:tcPr>
          <w:p>
            <w:pPr>
              <w:pStyle w:val="TableParagraph"/>
              <w:ind w:left="6"/>
              <w:rPr>
                <w:sz w:val="16"/>
              </w:rPr>
            </w:pPr>
            <w:r>
              <w:rPr>
                <w:spacing w:val="-2"/>
                <w:sz w:val="16"/>
              </w:rPr>
              <w:t>Tricaprin</w:t>
            </w:r>
          </w:p>
        </w:tc>
        <w:tc>
          <w:tcPr>
            <w:tcW w:w="3087" w:type="dxa"/>
          </w:tcPr>
          <w:p>
            <w:pPr>
              <w:pStyle w:val="TableParagraph"/>
              <w:ind w:left="8"/>
              <w:rPr>
                <w:sz w:val="16"/>
              </w:rPr>
            </w:pPr>
            <w:r>
              <w:rPr>
                <w:sz w:val="16"/>
              </w:rPr>
              <w:t>Glyceryl</w:t>
            </w:r>
            <w:r>
              <w:rPr>
                <w:spacing w:val="-3"/>
                <w:sz w:val="16"/>
              </w:rPr>
              <w:t> </w:t>
            </w:r>
            <w:r>
              <w:rPr>
                <w:sz w:val="16"/>
              </w:rPr>
              <w:t>behenate</w:t>
            </w:r>
            <w:r>
              <w:rPr>
                <w:spacing w:val="-3"/>
                <w:sz w:val="16"/>
              </w:rPr>
              <w:t> </w:t>
            </w:r>
            <w:r>
              <w:rPr>
                <w:sz w:val="16"/>
              </w:rPr>
              <w:t>(Compritol</w:t>
            </w:r>
            <w:r>
              <w:rPr>
                <w:spacing w:val="-7"/>
                <w:sz w:val="16"/>
              </w:rPr>
              <w:t> </w:t>
            </w:r>
            <w:r>
              <w:rPr>
                <w:sz w:val="16"/>
              </w:rPr>
              <w:t>888</w:t>
            </w:r>
            <w:r>
              <w:rPr>
                <w:spacing w:val="1"/>
                <w:sz w:val="16"/>
              </w:rPr>
              <w:t> </w:t>
            </w:r>
            <w:r>
              <w:rPr>
                <w:spacing w:val="-4"/>
                <w:sz w:val="16"/>
              </w:rPr>
              <w:t>ATO)</w:t>
            </w:r>
          </w:p>
        </w:tc>
        <w:tc>
          <w:tcPr>
            <w:tcW w:w="2017" w:type="dxa"/>
          </w:tcPr>
          <w:p>
            <w:pPr>
              <w:pStyle w:val="TableParagraph"/>
              <w:rPr>
                <w:sz w:val="16"/>
              </w:rPr>
            </w:pPr>
            <w:r>
              <w:rPr>
                <w:sz w:val="16"/>
              </w:rPr>
              <w:t>Poloxamer</w:t>
            </w:r>
            <w:r>
              <w:rPr>
                <w:spacing w:val="-8"/>
                <w:sz w:val="16"/>
              </w:rPr>
              <w:t> </w:t>
            </w:r>
            <w:r>
              <w:rPr>
                <w:spacing w:val="-5"/>
                <w:sz w:val="16"/>
              </w:rPr>
              <w:t>407</w:t>
            </w:r>
          </w:p>
        </w:tc>
      </w:tr>
      <w:tr>
        <w:trPr>
          <w:trHeight w:val="268" w:hRule="atLeast"/>
        </w:trPr>
        <w:tc>
          <w:tcPr>
            <w:tcW w:w="3010" w:type="dxa"/>
          </w:tcPr>
          <w:p>
            <w:pPr>
              <w:pStyle w:val="TableParagraph"/>
              <w:ind w:left="9" w:right="3"/>
              <w:rPr>
                <w:sz w:val="16"/>
              </w:rPr>
            </w:pPr>
            <w:r>
              <w:rPr>
                <w:spacing w:val="-2"/>
                <w:sz w:val="16"/>
              </w:rPr>
              <w:t>Trilaurin</w:t>
            </w:r>
          </w:p>
        </w:tc>
        <w:tc>
          <w:tcPr>
            <w:tcW w:w="3087" w:type="dxa"/>
          </w:tcPr>
          <w:p>
            <w:pPr>
              <w:pStyle w:val="TableParagraph"/>
              <w:ind w:left="8"/>
              <w:rPr>
                <w:sz w:val="16"/>
              </w:rPr>
            </w:pPr>
            <w:r>
              <w:rPr>
                <w:sz w:val="16"/>
              </w:rPr>
              <w:t>Glyceryl</w:t>
            </w:r>
            <w:r>
              <w:rPr>
                <w:spacing w:val="-3"/>
                <w:sz w:val="16"/>
              </w:rPr>
              <w:t> </w:t>
            </w:r>
            <w:r>
              <w:rPr>
                <w:sz w:val="16"/>
              </w:rPr>
              <w:t>palmitostearate</w:t>
            </w:r>
            <w:r>
              <w:rPr>
                <w:spacing w:val="-10"/>
                <w:sz w:val="16"/>
              </w:rPr>
              <w:t> </w:t>
            </w:r>
            <w:r>
              <w:rPr>
                <w:sz w:val="16"/>
              </w:rPr>
              <w:t>(Precirol</w:t>
            </w:r>
            <w:r>
              <w:rPr>
                <w:spacing w:val="2"/>
                <w:sz w:val="16"/>
              </w:rPr>
              <w:t> </w:t>
            </w:r>
            <w:r>
              <w:rPr>
                <w:sz w:val="16"/>
              </w:rPr>
              <w:t>ATO</w:t>
            </w:r>
            <w:r>
              <w:rPr>
                <w:spacing w:val="-6"/>
                <w:sz w:val="16"/>
              </w:rPr>
              <w:t> </w:t>
            </w:r>
            <w:r>
              <w:rPr>
                <w:spacing w:val="-5"/>
                <w:sz w:val="16"/>
              </w:rPr>
              <w:t>5)</w:t>
            </w:r>
          </w:p>
        </w:tc>
        <w:tc>
          <w:tcPr>
            <w:tcW w:w="2017" w:type="dxa"/>
          </w:tcPr>
          <w:p>
            <w:pPr>
              <w:pStyle w:val="TableParagraph"/>
              <w:ind w:right="1"/>
              <w:rPr>
                <w:sz w:val="16"/>
              </w:rPr>
            </w:pPr>
            <w:r>
              <w:rPr>
                <w:sz w:val="16"/>
              </w:rPr>
              <w:t>Poloxamine</w:t>
            </w:r>
            <w:r>
              <w:rPr>
                <w:spacing w:val="-7"/>
                <w:sz w:val="16"/>
              </w:rPr>
              <w:t> </w:t>
            </w:r>
            <w:r>
              <w:rPr>
                <w:spacing w:val="-5"/>
                <w:sz w:val="16"/>
              </w:rPr>
              <w:t>908</w:t>
            </w:r>
          </w:p>
        </w:tc>
      </w:tr>
      <w:tr>
        <w:trPr>
          <w:trHeight w:val="201" w:hRule="atLeast"/>
        </w:trPr>
        <w:tc>
          <w:tcPr>
            <w:tcW w:w="3010" w:type="dxa"/>
          </w:tcPr>
          <w:p>
            <w:pPr>
              <w:pStyle w:val="TableParagraph"/>
              <w:ind w:left="6"/>
              <w:rPr>
                <w:sz w:val="16"/>
              </w:rPr>
            </w:pPr>
            <w:r>
              <w:rPr>
                <w:spacing w:val="-2"/>
                <w:sz w:val="16"/>
              </w:rPr>
              <w:t>Trimyristin</w:t>
            </w:r>
          </w:p>
        </w:tc>
        <w:tc>
          <w:tcPr>
            <w:tcW w:w="3087" w:type="dxa"/>
          </w:tcPr>
          <w:p>
            <w:pPr>
              <w:pStyle w:val="TableParagraph"/>
              <w:ind w:left="8" w:right="2"/>
              <w:rPr>
                <w:sz w:val="16"/>
              </w:rPr>
            </w:pPr>
            <w:r>
              <w:rPr>
                <w:sz w:val="16"/>
              </w:rPr>
              <w:t>Cetyl</w:t>
            </w:r>
            <w:r>
              <w:rPr>
                <w:spacing w:val="-6"/>
                <w:sz w:val="16"/>
              </w:rPr>
              <w:t> </w:t>
            </w:r>
            <w:r>
              <w:rPr>
                <w:spacing w:val="-2"/>
                <w:sz w:val="16"/>
              </w:rPr>
              <w:t>palmitate</w:t>
            </w:r>
          </w:p>
        </w:tc>
        <w:tc>
          <w:tcPr>
            <w:tcW w:w="2017" w:type="dxa"/>
          </w:tcPr>
          <w:p>
            <w:pPr>
              <w:pStyle w:val="TableParagraph"/>
              <w:rPr>
                <w:sz w:val="16"/>
              </w:rPr>
            </w:pPr>
            <w:r>
              <w:rPr>
                <w:spacing w:val="-2"/>
                <w:sz w:val="16"/>
              </w:rPr>
              <w:t>Tyloxapol</w:t>
            </w:r>
          </w:p>
        </w:tc>
      </w:tr>
      <w:tr>
        <w:trPr>
          <w:trHeight w:val="253" w:hRule="atLeast"/>
        </w:trPr>
        <w:tc>
          <w:tcPr>
            <w:tcW w:w="3010" w:type="dxa"/>
          </w:tcPr>
          <w:p>
            <w:pPr>
              <w:pStyle w:val="TableParagraph"/>
              <w:ind w:left="6"/>
              <w:rPr>
                <w:sz w:val="16"/>
              </w:rPr>
            </w:pPr>
            <w:r>
              <w:rPr>
                <w:spacing w:val="-2"/>
                <w:sz w:val="16"/>
              </w:rPr>
              <w:t>Triopalmitin</w:t>
            </w:r>
          </w:p>
        </w:tc>
        <w:tc>
          <w:tcPr>
            <w:tcW w:w="3087" w:type="dxa"/>
          </w:tcPr>
          <w:p>
            <w:pPr>
              <w:pStyle w:val="TableParagraph"/>
              <w:ind w:left="8" w:right="8"/>
              <w:rPr>
                <w:sz w:val="16"/>
              </w:rPr>
            </w:pPr>
            <w:r>
              <w:rPr>
                <w:sz w:val="16"/>
              </w:rPr>
              <w:t>Stearic</w:t>
            </w:r>
            <w:r>
              <w:rPr>
                <w:spacing w:val="-7"/>
                <w:sz w:val="16"/>
              </w:rPr>
              <w:t> </w:t>
            </w:r>
            <w:r>
              <w:rPr>
                <w:spacing w:val="-4"/>
                <w:sz w:val="16"/>
              </w:rPr>
              <w:t>acid</w:t>
            </w:r>
          </w:p>
        </w:tc>
        <w:tc>
          <w:tcPr>
            <w:tcW w:w="2017" w:type="dxa"/>
          </w:tcPr>
          <w:p>
            <w:pPr>
              <w:pStyle w:val="TableParagraph"/>
              <w:rPr>
                <w:sz w:val="16"/>
              </w:rPr>
            </w:pPr>
            <w:r>
              <w:rPr>
                <w:sz w:val="16"/>
              </w:rPr>
              <w:t>Polysorbate</w:t>
            </w:r>
            <w:r>
              <w:rPr>
                <w:spacing w:val="-9"/>
                <w:sz w:val="16"/>
              </w:rPr>
              <w:t> </w:t>
            </w:r>
            <w:r>
              <w:rPr>
                <w:spacing w:val="-5"/>
                <w:sz w:val="16"/>
              </w:rPr>
              <w:t>20</w:t>
            </w:r>
          </w:p>
        </w:tc>
      </w:tr>
      <w:tr>
        <w:trPr>
          <w:trHeight w:val="282" w:hRule="atLeast"/>
        </w:trPr>
        <w:tc>
          <w:tcPr>
            <w:tcW w:w="3010" w:type="dxa"/>
          </w:tcPr>
          <w:p>
            <w:pPr>
              <w:pStyle w:val="TableParagraph"/>
              <w:ind w:left="6"/>
              <w:rPr>
                <w:sz w:val="16"/>
              </w:rPr>
            </w:pPr>
            <w:r>
              <w:rPr>
                <w:spacing w:val="-2"/>
                <w:sz w:val="16"/>
              </w:rPr>
              <w:t>Tristearin</w:t>
            </w:r>
          </w:p>
        </w:tc>
        <w:tc>
          <w:tcPr>
            <w:tcW w:w="3087" w:type="dxa"/>
          </w:tcPr>
          <w:p>
            <w:pPr>
              <w:pStyle w:val="TableParagraph"/>
              <w:ind w:left="8" w:right="3"/>
              <w:rPr>
                <w:sz w:val="16"/>
              </w:rPr>
            </w:pPr>
            <w:r>
              <w:rPr>
                <w:sz w:val="16"/>
              </w:rPr>
              <w:t>Palmitic</w:t>
            </w:r>
            <w:r>
              <w:rPr>
                <w:spacing w:val="-10"/>
                <w:sz w:val="16"/>
              </w:rPr>
              <w:t> </w:t>
            </w:r>
            <w:r>
              <w:rPr>
                <w:spacing w:val="-4"/>
                <w:sz w:val="16"/>
              </w:rPr>
              <w:t>acid</w:t>
            </w:r>
          </w:p>
        </w:tc>
        <w:tc>
          <w:tcPr>
            <w:tcW w:w="2017" w:type="dxa"/>
          </w:tcPr>
          <w:p>
            <w:pPr>
              <w:pStyle w:val="TableParagraph"/>
              <w:rPr>
                <w:sz w:val="16"/>
              </w:rPr>
            </w:pPr>
            <w:r>
              <w:rPr>
                <w:sz w:val="16"/>
              </w:rPr>
              <w:t>Polysorbate</w:t>
            </w:r>
            <w:r>
              <w:rPr>
                <w:spacing w:val="-9"/>
                <w:sz w:val="16"/>
              </w:rPr>
              <w:t> </w:t>
            </w:r>
            <w:r>
              <w:rPr>
                <w:spacing w:val="-5"/>
                <w:sz w:val="16"/>
              </w:rPr>
              <w:t>60</w:t>
            </w:r>
          </w:p>
        </w:tc>
      </w:tr>
      <w:tr>
        <w:trPr>
          <w:trHeight w:val="278" w:hRule="atLeast"/>
        </w:trPr>
        <w:tc>
          <w:tcPr>
            <w:tcW w:w="3010" w:type="dxa"/>
          </w:tcPr>
          <w:p>
            <w:pPr>
              <w:pStyle w:val="TableParagraph"/>
              <w:ind w:left="6" w:right="6"/>
              <w:rPr>
                <w:sz w:val="16"/>
              </w:rPr>
            </w:pPr>
            <w:r>
              <w:rPr>
                <w:sz w:val="16"/>
              </w:rPr>
              <w:t>Hydrogenated</w:t>
            </w:r>
            <w:r>
              <w:rPr>
                <w:spacing w:val="-10"/>
                <w:sz w:val="16"/>
              </w:rPr>
              <w:t> </w:t>
            </w:r>
            <w:r>
              <w:rPr>
                <w:sz w:val="16"/>
              </w:rPr>
              <w:t>cocoglycerydes</w:t>
            </w:r>
            <w:r>
              <w:rPr>
                <w:spacing w:val="-10"/>
                <w:sz w:val="16"/>
              </w:rPr>
              <w:t> </w:t>
            </w:r>
            <w:r>
              <w:rPr>
                <w:spacing w:val="-2"/>
                <w:sz w:val="16"/>
              </w:rPr>
              <w:t>(Softisan)</w:t>
            </w:r>
          </w:p>
        </w:tc>
        <w:tc>
          <w:tcPr>
            <w:tcW w:w="3087" w:type="dxa"/>
          </w:tcPr>
          <w:p>
            <w:pPr>
              <w:pStyle w:val="TableParagraph"/>
              <w:ind w:left="8" w:right="8"/>
              <w:rPr>
                <w:sz w:val="16"/>
              </w:rPr>
            </w:pPr>
            <w:r>
              <w:rPr>
                <w:spacing w:val="-2"/>
                <w:sz w:val="16"/>
              </w:rPr>
              <w:t>Decanoic</w:t>
            </w:r>
            <w:r>
              <w:rPr>
                <w:spacing w:val="5"/>
                <w:sz w:val="16"/>
              </w:rPr>
              <w:t> </w:t>
            </w:r>
            <w:r>
              <w:rPr>
                <w:spacing w:val="-4"/>
                <w:sz w:val="16"/>
              </w:rPr>
              <w:t>acid</w:t>
            </w:r>
          </w:p>
        </w:tc>
        <w:tc>
          <w:tcPr>
            <w:tcW w:w="2017" w:type="dxa"/>
          </w:tcPr>
          <w:p>
            <w:pPr>
              <w:pStyle w:val="TableParagraph"/>
              <w:rPr>
                <w:sz w:val="16"/>
              </w:rPr>
            </w:pPr>
            <w:r>
              <w:rPr>
                <w:sz w:val="16"/>
              </w:rPr>
              <w:t>Polysorbate</w:t>
            </w:r>
            <w:r>
              <w:rPr>
                <w:spacing w:val="-9"/>
                <w:sz w:val="16"/>
              </w:rPr>
              <w:t> </w:t>
            </w:r>
            <w:r>
              <w:rPr>
                <w:spacing w:val="-5"/>
                <w:sz w:val="16"/>
              </w:rPr>
              <w:t>80</w:t>
            </w:r>
          </w:p>
        </w:tc>
      </w:tr>
      <w:tr>
        <w:trPr>
          <w:trHeight w:val="282" w:hRule="atLeast"/>
        </w:trPr>
        <w:tc>
          <w:tcPr>
            <w:tcW w:w="3010" w:type="dxa"/>
          </w:tcPr>
          <w:p>
            <w:pPr>
              <w:pStyle w:val="TableParagraph"/>
              <w:ind w:left="6" w:right="3"/>
              <w:rPr>
                <w:sz w:val="16"/>
              </w:rPr>
            </w:pPr>
            <w:r>
              <w:rPr>
                <w:spacing w:val="-2"/>
                <w:sz w:val="16"/>
              </w:rPr>
              <w:t>Diglycerides</w:t>
            </w:r>
          </w:p>
        </w:tc>
        <w:tc>
          <w:tcPr>
            <w:tcW w:w="3087" w:type="dxa"/>
          </w:tcPr>
          <w:p>
            <w:pPr>
              <w:pStyle w:val="TableParagraph"/>
              <w:ind w:left="8" w:right="3"/>
              <w:rPr>
                <w:sz w:val="16"/>
              </w:rPr>
            </w:pPr>
            <w:r>
              <w:rPr>
                <w:sz w:val="16"/>
              </w:rPr>
              <w:t>Behenic</w:t>
            </w:r>
            <w:r>
              <w:rPr>
                <w:spacing w:val="-7"/>
                <w:sz w:val="16"/>
              </w:rPr>
              <w:t> </w:t>
            </w:r>
            <w:r>
              <w:rPr>
                <w:spacing w:val="-4"/>
                <w:sz w:val="16"/>
              </w:rPr>
              <w:t>acid</w:t>
            </w:r>
          </w:p>
        </w:tc>
        <w:tc>
          <w:tcPr>
            <w:tcW w:w="2017" w:type="dxa"/>
          </w:tcPr>
          <w:p>
            <w:pPr>
              <w:pStyle w:val="TableParagraph"/>
              <w:ind w:right="1"/>
              <w:rPr>
                <w:sz w:val="16"/>
              </w:rPr>
            </w:pPr>
            <w:r>
              <w:rPr>
                <w:sz w:val="16"/>
              </w:rPr>
              <w:t>Sodium</w:t>
            </w:r>
            <w:r>
              <w:rPr>
                <w:spacing w:val="-2"/>
                <w:sz w:val="16"/>
              </w:rPr>
              <w:t> cholate</w:t>
            </w:r>
          </w:p>
        </w:tc>
      </w:tr>
      <w:tr>
        <w:trPr>
          <w:trHeight w:val="282" w:hRule="atLeast"/>
        </w:trPr>
        <w:tc>
          <w:tcPr>
            <w:tcW w:w="3010" w:type="dxa"/>
          </w:tcPr>
          <w:p>
            <w:pPr>
              <w:pStyle w:val="TableParagraph"/>
              <w:ind w:left="6" w:right="7"/>
              <w:rPr>
                <w:sz w:val="16"/>
              </w:rPr>
            </w:pPr>
            <w:r>
              <w:rPr>
                <w:sz w:val="16"/>
              </w:rPr>
              <w:t>Fatty</w:t>
            </w:r>
            <w:r>
              <w:rPr>
                <w:spacing w:val="-6"/>
                <w:sz w:val="16"/>
              </w:rPr>
              <w:t> </w:t>
            </w:r>
            <w:r>
              <w:rPr>
                <w:spacing w:val="-2"/>
                <w:sz w:val="16"/>
              </w:rPr>
              <w:t>acids</w:t>
            </w:r>
          </w:p>
        </w:tc>
        <w:tc>
          <w:tcPr>
            <w:tcW w:w="3087" w:type="dxa"/>
          </w:tcPr>
          <w:p>
            <w:pPr>
              <w:pStyle w:val="TableParagraph"/>
              <w:ind w:left="8" w:right="8"/>
              <w:rPr>
                <w:sz w:val="16"/>
              </w:rPr>
            </w:pPr>
            <w:r>
              <w:rPr>
                <w:sz w:val="16"/>
              </w:rPr>
              <w:t>Acidan</w:t>
            </w:r>
            <w:r>
              <w:rPr>
                <w:spacing w:val="-7"/>
                <w:sz w:val="16"/>
              </w:rPr>
              <w:t> </w:t>
            </w:r>
            <w:r>
              <w:rPr>
                <w:spacing w:val="-5"/>
                <w:sz w:val="16"/>
              </w:rPr>
              <w:t>N12</w:t>
            </w:r>
          </w:p>
        </w:tc>
        <w:tc>
          <w:tcPr>
            <w:tcW w:w="2017" w:type="dxa"/>
          </w:tcPr>
          <w:p>
            <w:pPr>
              <w:pStyle w:val="TableParagraph"/>
              <w:ind w:right="1"/>
              <w:rPr>
                <w:sz w:val="16"/>
              </w:rPr>
            </w:pPr>
            <w:r>
              <w:rPr>
                <w:sz w:val="16"/>
              </w:rPr>
              <w:t>Sodium</w:t>
            </w:r>
            <w:r>
              <w:rPr>
                <w:spacing w:val="-2"/>
                <w:sz w:val="16"/>
              </w:rPr>
              <w:t> glycocholate</w:t>
            </w:r>
          </w:p>
        </w:tc>
      </w:tr>
    </w:tbl>
    <w:p>
      <w:pPr>
        <w:pStyle w:val="BodyText"/>
        <w:ind w:left="0"/>
        <w:jc w:val="left"/>
        <w:rPr>
          <w:sz w:val="16"/>
        </w:rPr>
      </w:pPr>
    </w:p>
    <w:p>
      <w:pPr>
        <w:spacing w:before="0" w:after="9"/>
        <w:ind w:left="7" w:right="8" w:firstLine="0"/>
        <w:jc w:val="center"/>
        <w:rPr>
          <w:sz w:val="16"/>
        </w:rPr>
      </w:pPr>
      <w:r>
        <w:rPr>
          <w:b/>
          <w:sz w:val="16"/>
        </w:rPr>
        <w:t>Table</w:t>
      </w:r>
      <w:r>
        <w:rPr>
          <w:b/>
          <w:spacing w:val="-2"/>
          <w:sz w:val="16"/>
        </w:rPr>
        <w:t> </w:t>
      </w:r>
      <w:r>
        <w:rPr>
          <w:b/>
          <w:sz w:val="16"/>
        </w:rPr>
        <w:t>2:</w:t>
      </w:r>
      <w:r>
        <w:rPr>
          <w:b/>
          <w:spacing w:val="1"/>
          <w:sz w:val="16"/>
        </w:rPr>
        <w:t> </w:t>
      </w:r>
      <w:r>
        <w:rPr>
          <w:sz w:val="16"/>
        </w:rPr>
        <w:t>Methods</w:t>
      </w:r>
      <w:r>
        <w:rPr>
          <w:spacing w:val="-3"/>
          <w:sz w:val="16"/>
        </w:rPr>
        <w:t> </w:t>
      </w:r>
      <w:r>
        <w:rPr>
          <w:sz w:val="16"/>
        </w:rPr>
        <w:t>of</w:t>
      </w:r>
      <w:r>
        <w:rPr>
          <w:spacing w:val="-4"/>
          <w:sz w:val="16"/>
        </w:rPr>
        <w:t> </w:t>
      </w:r>
      <w:r>
        <w:rPr>
          <w:sz w:val="16"/>
        </w:rPr>
        <w:t>Preparation</w:t>
      </w:r>
      <w:r>
        <w:rPr>
          <w:spacing w:val="-2"/>
          <w:sz w:val="16"/>
        </w:rPr>
        <w:t> </w:t>
      </w:r>
      <w:r>
        <w:rPr>
          <w:sz w:val="16"/>
        </w:rPr>
        <w:t>of</w:t>
      </w:r>
      <w:r>
        <w:rPr>
          <w:spacing w:val="-4"/>
          <w:sz w:val="16"/>
        </w:rPr>
        <w:t> </w:t>
      </w:r>
      <w:r>
        <w:rPr>
          <w:sz w:val="16"/>
        </w:rPr>
        <w:t>Solid</w:t>
      </w:r>
      <w:r>
        <w:rPr>
          <w:spacing w:val="-2"/>
          <w:sz w:val="16"/>
        </w:rPr>
        <w:t> </w:t>
      </w:r>
      <w:r>
        <w:rPr>
          <w:sz w:val="16"/>
        </w:rPr>
        <w:t>Lipid</w:t>
      </w:r>
      <w:r>
        <w:rPr>
          <w:spacing w:val="-5"/>
          <w:sz w:val="16"/>
        </w:rPr>
        <w:t> </w:t>
      </w:r>
      <w:r>
        <w:rPr>
          <w:spacing w:val="-2"/>
          <w:sz w:val="16"/>
        </w:rPr>
        <w:t>Nanoparticles</w:t>
      </w:r>
    </w:p>
    <w:tbl>
      <w:tblPr>
        <w:tblW w:w="0" w:type="auto"/>
        <w:jc w:val="left"/>
        <w:tblInd w:w="3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58"/>
      </w:tblGrid>
      <w:tr>
        <w:trPr>
          <w:trHeight w:val="551" w:hRule="atLeast"/>
        </w:trPr>
        <w:tc>
          <w:tcPr>
            <w:tcW w:w="3758" w:type="dxa"/>
          </w:tcPr>
          <w:p>
            <w:pPr>
              <w:pStyle w:val="TableParagraph"/>
              <w:numPr>
                <w:ilvl w:val="0"/>
                <w:numId w:val="7"/>
              </w:numPr>
              <w:tabs>
                <w:tab w:pos="359" w:val="left" w:leader="none"/>
              </w:tabs>
              <w:spacing w:line="178" w:lineRule="exact" w:before="0" w:after="0"/>
              <w:ind w:left="359" w:right="955" w:hanging="359"/>
              <w:jc w:val="right"/>
              <w:rPr>
                <w:sz w:val="16"/>
              </w:rPr>
            </w:pPr>
            <w:r>
              <w:rPr>
                <w:sz w:val="16"/>
              </w:rPr>
              <w:t>High</w:t>
            </w:r>
            <w:r>
              <w:rPr>
                <w:spacing w:val="-5"/>
                <w:sz w:val="16"/>
              </w:rPr>
              <w:t> </w:t>
            </w:r>
            <w:r>
              <w:rPr>
                <w:sz w:val="16"/>
              </w:rPr>
              <w:t>pressure</w:t>
            </w:r>
            <w:r>
              <w:rPr>
                <w:spacing w:val="-5"/>
                <w:sz w:val="16"/>
              </w:rPr>
              <w:t> </w:t>
            </w:r>
            <w:r>
              <w:rPr>
                <w:spacing w:val="-2"/>
                <w:sz w:val="16"/>
              </w:rPr>
              <w:t>homogenization</w:t>
            </w:r>
          </w:p>
          <w:p>
            <w:pPr>
              <w:pStyle w:val="TableParagraph"/>
              <w:numPr>
                <w:ilvl w:val="1"/>
                <w:numId w:val="7"/>
              </w:numPr>
              <w:tabs>
                <w:tab w:pos="446" w:val="left" w:leader="none"/>
              </w:tabs>
              <w:spacing w:line="182" w:lineRule="exact" w:before="0" w:after="0"/>
              <w:ind w:left="446" w:right="887" w:hanging="446"/>
              <w:jc w:val="right"/>
              <w:rPr>
                <w:sz w:val="16"/>
              </w:rPr>
            </w:pPr>
            <w:r>
              <w:rPr>
                <w:sz w:val="16"/>
              </w:rPr>
              <w:t>Hot</w:t>
            </w:r>
            <w:r>
              <w:rPr>
                <w:spacing w:val="-4"/>
                <w:sz w:val="16"/>
              </w:rPr>
              <w:t> </w:t>
            </w:r>
            <w:r>
              <w:rPr>
                <w:spacing w:val="-2"/>
                <w:sz w:val="16"/>
              </w:rPr>
              <w:t>homogenization</w:t>
            </w:r>
          </w:p>
          <w:p>
            <w:pPr>
              <w:pStyle w:val="TableParagraph"/>
              <w:numPr>
                <w:ilvl w:val="1"/>
                <w:numId w:val="7"/>
              </w:numPr>
              <w:tabs>
                <w:tab w:pos="186" w:val="left" w:leader="none"/>
              </w:tabs>
              <w:spacing w:line="172" w:lineRule="exact" w:before="0" w:after="0"/>
              <w:ind w:left="186" w:right="815" w:hanging="186"/>
              <w:jc w:val="right"/>
              <w:rPr>
                <w:sz w:val="16"/>
              </w:rPr>
            </w:pPr>
            <w:r>
              <w:rPr>
                <w:sz w:val="16"/>
              </w:rPr>
              <w:t>Cold</w:t>
            </w:r>
            <w:r>
              <w:rPr>
                <w:spacing w:val="-4"/>
                <w:sz w:val="16"/>
              </w:rPr>
              <w:t> </w:t>
            </w:r>
            <w:r>
              <w:rPr>
                <w:spacing w:val="-2"/>
                <w:sz w:val="16"/>
              </w:rPr>
              <w:t>homogenization</w:t>
            </w:r>
          </w:p>
        </w:tc>
      </w:tr>
      <w:tr>
        <w:trPr>
          <w:trHeight w:val="181" w:hRule="atLeast"/>
        </w:trPr>
        <w:tc>
          <w:tcPr>
            <w:tcW w:w="3758" w:type="dxa"/>
          </w:tcPr>
          <w:p>
            <w:pPr>
              <w:pStyle w:val="TableParagraph"/>
              <w:tabs>
                <w:tab w:pos="830" w:val="left" w:leader="none"/>
              </w:tabs>
              <w:spacing w:line="162" w:lineRule="exact"/>
              <w:ind w:left="470" w:right="0"/>
              <w:jc w:val="left"/>
              <w:rPr>
                <w:sz w:val="16"/>
              </w:rPr>
            </w:pPr>
            <w:r>
              <w:rPr>
                <w:spacing w:val="-5"/>
                <w:sz w:val="16"/>
              </w:rPr>
              <w:t>2.</w:t>
            </w:r>
            <w:r>
              <w:rPr>
                <w:sz w:val="16"/>
              </w:rPr>
              <w:tab/>
              <w:t>Ultrasonication/high</w:t>
            </w:r>
            <w:r>
              <w:rPr>
                <w:spacing w:val="-7"/>
                <w:sz w:val="16"/>
              </w:rPr>
              <w:t> </w:t>
            </w:r>
            <w:r>
              <w:rPr>
                <w:sz w:val="16"/>
              </w:rPr>
              <w:t>speed</w:t>
            </w:r>
            <w:r>
              <w:rPr>
                <w:spacing w:val="-7"/>
                <w:sz w:val="16"/>
              </w:rPr>
              <w:t> </w:t>
            </w:r>
            <w:r>
              <w:rPr>
                <w:spacing w:val="-2"/>
                <w:sz w:val="16"/>
              </w:rPr>
              <w:t>homogenization</w:t>
            </w:r>
          </w:p>
        </w:tc>
      </w:tr>
      <w:tr>
        <w:trPr>
          <w:trHeight w:val="220" w:hRule="atLeast"/>
        </w:trPr>
        <w:tc>
          <w:tcPr>
            <w:tcW w:w="3758" w:type="dxa"/>
          </w:tcPr>
          <w:p>
            <w:pPr>
              <w:pStyle w:val="TableParagraph"/>
              <w:tabs>
                <w:tab w:pos="830" w:val="left" w:leader="none"/>
              </w:tabs>
              <w:ind w:left="470" w:right="0"/>
              <w:jc w:val="left"/>
              <w:rPr>
                <w:sz w:val="16"/>
              </w:rPr>
            </w:pPr>
            <w:r>
              <w:rPr>
                <w:spacing w:val="-5"/>
                <w:sz w:val="16"/>
              </w:rPr>
              <w:t>3.</w:t>
            </w:r>
            <w:r>
              <w:rPr>
                <w:sz w:val="16"/>
              </w:rPr>
              <w:tab/>
              <w:t>Solvent</w:t>
            </w:r>
            <w:r>
              <w:rPr>
                <w:spacing w:val="-5"/>
                <w:sz w:val="16"/>
              </w:rPr>
              <w:t> </w:t>
            </w:r>
            <w:r>
              <w:rPr>
                <w:sz w:val="16"/>
              </w:rPr>
              <w:t>evaporation/</w:t>
            </w:r>
            <w:r>
              <w:rPr>
                <w:spacing w:val="-4"/>
                <w:sz w:val="16"/>
              </w:rPr>
              <w:t> </w:t>
            </w:r>
            <w:r>
              <w:rPr>
                <w:spacing w:val="-2"/>
                <w:sz w:val="16"/>
              </w:rPr>
              <w:t>emulsification</w:t>
            </w:r>
          </w:p>
        </w:tc>
      </w:tr>
      <w:tr>
        <w:trPr>
          <w:trHeight w:val="182" w:hRule="atLeast"/>
        </w:trPr>
        <w:tc>
          <w:tcPr>
            <w:tcW w:w="3758" w:type="dxa"/>
          </w:tcPr>
          <w:p>
            <w:pPr>
              <w:pStyle w:val="TableParagraph"/>
              <w:tabs>
                <w:tab w:pos="830" w:val="left" w:leader="none"/>
              </w:tabs>
              <w:spacing w:line="162" w:lineRule="exact"/>
              <w:ind w:left="470" w:right="0"/>
              <w:jc w:val="left"/>
              <w:rPr>
                <w:sz w:val="16"/>
              </w:rPr>
            </w:pPr>
            <w:r>
              <w:rPr>
                <w:spacing w:val="-5"/>
                <w:sz w:val="16"/>
              </w:rPr>
              <w:t>4.</w:t>
            </w:r>
            <w:r>
              <w:rPr>
                <w:sz w:val="16"/>
              </w:rPr>
              <w:tab/>
              <w:t>Microemulsion</w:t>
            </w:r>
            <w:r>
              <w:rPr>
                <w:spacing w:val="-6"/>
                <w:sz w:val="16"/>
              </w:rPr>
              <w:t> </w:t>
            </w:r>
            <w:r>
              <w:rPr>
                <w:sz w:val="16"/>
              </w:rPr>
              <w:t>based</w:t>
            </w:r>
            <w:r>
              <w:rPr>
                <w:spacing w:val="-5"/>
                <w:sz w:val="16"/>
              </w:rPr>
              <w:t> </w:t>
            </w:r>
            <w:r>
              <w:rPr>
                <w:spacing w:val="-2"/>
                <w:sz w:val="16"/>
              </w:rPr>
              <w:t>method</w:t>
            </w:r>
          </w:p>
        </w:tc>
      </w:tr>
      <w:tr>
        <w:trPr>
          <w:trHeight w:val="186" w:hRule="atLeast"/>
        </w:trPr>
        <w:tc>
          <w:tcPr>
            <w:tcW w:w="3758" w:type="dxa"/>
          </w:tcPr>
          <w:p>
            <w:pPr>
              <w:pStyle w:val="TableParagraph"/>
              <w:tabs>
                <w:tab w:pos="830" w:val="left" w:leader="none"/>
              </w:tabs>
              <w:spacing w:line="167" w:lineRule="exact"/>
              <w:ind w:left="470" w:right="0"/>
              <w:jc w:val="left"/>
              <w:rPr>
                <w:sz w:val="16"/>
              </w:rPr>
            </w:pPr>
            <w:r>
              <w:rPr>
                <w:spacing w:val="-5"/>
                <w:sz w:val="16"/>
              </w:rPr>
              <w:t>5.</w:t>
            </w:r>
            <w:r>
              <w:rPr>
                <w:sz w:val="16"/>
              </w:rPr>
              <w:tab/>
              <w:t>Spray</w:t>
            </w:r>
            <w:r>
              <w:rPr>
                <w:spacing w:val="-4"/>
                <w:sz w:val="16"/>
              </w:rPr>
              <w:t> </w:t>
            </w:r>
            <w:r>
              <w:rPr>
                <w:sz w:val="16"/>
              </w:rPr>
              <w:t>drying</w:t>
            </w:r>
            <w:r>
              <w:rPr>
                <w:spacing w:val="-4"/>
                <w:sz w:val="16"/>
              </w:rPr>
              <w:t> </w:t>
            </w:r>
            <w:r>
              <w:rPr>
                <w:spacing w:val="-2"/>
                <w:sz w:val="16"/>
              </w:rPr>
              <w:t>method</w:t>
            </w:r>
          </w:p>
        </w:tc>
      </w:tr>
      <w:tr>
        <w:trPr>
          <w:trHeight w:val="182" w:hRule="atLeast"/>
        </w:trPr>
        <w:tc>
          <w:tcPr>
            <w:tcW w:w="3758" w:type="dxa"/>
          </w:tcPr>
          <w:p>
            <w:pPr>
              <w:pStyle w:val="TableParagraph"/>
              <w:tabs>
                <w:tab w:pos="830" w:val="left" w:leader="none"/>
              </w:tabs>
              <w:spacing w:line="162" w:lineRule="exact"/>
              <w:ind w:left="470" w:right="0"/>
              <w:jc w:val="left"/>
              <w:rPr>
                <w:sz w:val="16"/>
              </w:rPr>
            </w:pPr>
            <w:r>
              <w:rPr>
                <w:spacing w:val="-5"/>
                <w:sz w:val="16"/>
              </w:rPr>
              <w:t>6.</w:t>
            </w:r>
            <w:r>
              <w:rPr>
                <w:sz w:val="16"/>
              </w:rPr>
              <w:tab/>
              <w:t>Supercritical</w:t>
            </w:r>
            <w:r>
              <w:rPr>
                <w:spacing w:val="-1"/>
                <w:sz w:val="16"/>
              </w:rPr>
              <w:t> </w:t>
            </w:r>
            <w:r>
              <w:rPr>
                <w:sz w:val="16"/>
              </w:rPr>
              <w:t>fluid</w:t>
            </w:r>
            <w:r>
              <w:rPr>
                <w:spacing w:val="-7"/>
                <w:sz w:val="16"/>
              </w:rPr>
              <w:t> </w:t>
            </w:r>
            <w:r>
              <w:rPr>
                <w:spacing w:val="-2"/>
                <w:sz w:val="16"/>
              </w:rPr>
              <w:t>method</w:t>
            </w:r>
          </w:p>
        </w:tc>
      </w:tr>
      <w:tr>
        <w:trPr>
          <w:trHeight w:val="186" w:hRule="atLeast"/>
        </w:trPr>
        <w:tc>
          <w:tcPr>
            <w:tcW w:w="3758" w:type="dxa"/>
          </w:tcPr>
          <w:p>
            <w:pPr>
              <w:pStyle w:val="TableParagraph"/>
              <w:tabs>
                <w:tab w:pos="830" w:val="left" w:leader="none"/>
              </w:tabs>
              <w:spacing w:line="167" w:lineRule="exact"/>
              <w:ind w:left="470" w:right="0"/>
              <w:jc w:val="left"/>
              <w:rPr>
                <w:sz w:val="16"/>
              </w:rPr>
            </w:pPr>
            <w:r>
              <w:rPr>
                <w:spacing w:val="-5"/>
                <w:sz w:val="16"/>
              </w:rPr>
              <w:t>7.</w:t>
            </w:r>
            <w:r>
              <w:rPr>
                <w:sz w:val="16"/>
              </w:rPr>
              <w:tab/>
              <w:t>Double</w:t>
            </w:r>
            <w:r>
              <w:rPr>
                <w:spacing w:val="-4"/>
                <w:sz w:val="16"/>
              </w:rPr>
              <w:t> </w:t>
            </w:r>
            <w:r>
              <w:rPr>
                <w:sz w:val="16"/>
              </w:rPr>
              <w:t>emulsion</w:t>
            </w:r>
            <w:r>
              <w:rPr>
                <w:spacing w:val="-3"/>
                <w:sz w:val="16"/>
              </w:rPr>
              <w:t> </w:t>
            </w:r>
            <w:r>
              <w:rPr>
                <w:spacing w:val="-2"/>
                <w:sz w:val="16"/>
              </w:rPr>
              <w:t>method</w:t>
            </w:r>
          </w:p>
        </w:tc>
      </w:tr>
    </w:tbl>
    <w:p>
      <w:pPr>
        <w:spacing w:before="180"/>
        <w:ind w:left="7" w:right="7" w:firstLine="0"/>
        <w:jc w:val="center"/>
        <w:rPr>
          <w:sz w:val="16"/>
        </w:rPr>
      </w:pPr>
      <w:r>
        <w:rPr>
          <w:sz w:val="16"/>
        </w:rPr>
        <mc:AlternateContent>
          <mc:Choice Requires="wps">
            <w:drawing>
              <wp:anchor distT="0" distB="0" distL="0" distR="0" allowOverlap="1" layoutInCell="1" locked="0" behindDoc="1" simplePos="0" relativeHeight="487588864">
                <wp:simplePos x="0" y="0"/>
                <wp:positionH relativeFrom="page">
                  <wp:posOffset>1798320</wp:posOffset>
                </wp:positionH>
                <wp:positionV relativeFrom="paragraph">
                  <wp:posOffset>236210</wp:posOffset>
                </wp:positionV>
                <wp:extent cx="3968750" cy="242062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3968750" cy="2420620"/>
                          <a:chExt cx="3968750" cy="2420620"/>
                        </a:xfrm>
                      </wpg:grpSpPr>
                      <pic:pic>
                        <pic:nvPicPr>
                          <pic:cNvPr id="16" name="Image 16"/>
                          <pic:cNvPicPr/>
                        </pic:nvPicPr>
                        <pic:blipFill>
                          <a:blip r:embed="rId14" cstate="print"/>
                          <a:stretch>
                            <a:fillRect/>
                          </a:stretch>
                        </pic:blipFill>
                        <pic:spPr>
                          <a:xfrm>
                            <a:off x="0" y="0"/>
                            <a:ext cx="3968496" cy="548640"/>
                          </a:xfrm>
                          <a:prstGeom prst="rect">
                            <a:avLst/>
                          </a:prstGeom>
                        </pic:spPr>
                      </pic:pic>
                      <pic:pic>
                        <pic:nvPicPr>
                          <pic:cNvPr id="17" name="Image 17"/>
                          <pic:cNvPicPr/>
                        </pic:nvPicPr>
                        <pic:blipFill>
                          <a:blip r:embed="rId15" cstate="print"/>
                          <a:stretch>
                            <a:fillRect/>
                          </a:stretch>
                        </pic:blipFill>
                        <pic:spPr>
                          <a:xfrm>
                            <a:off x="0" y="274320"/>
                            <a:ext cx="3968496" cy="548639"/>
                          </a:xfrm>
                          <a:prstGeom prst="rect">
                            <a:avLst/>
                          </a:prstGeom>
                        </pic:spPr>
                      </pic:pic>
                      <pic:pic>
                        <pic:nvPicPr>
                          <pic:cNvPr id="18" name="Image 18"/>
                          <pic:cNvPicPr/>
                        </pic:nvPicPr>
                        <pic:blipFill>
                          <a:blip r:embed="rId16" cstate="print"/>
                          <a:stretch>
                            <a:fillRect/>
                          </a:stretch>
                        </pic:blipFill>
                        <pic:spPr>
                          <a:xfrm>
                            <a:off x="0" y="548640"/>
                            <a:ext cx="3968496" cy="548640"/>
                          </a:xfrm>
                          <a:prstGeom prst="rect">
                            <a:avLst/>
                          </a:prstGeom>
                        </pic:spPr>
                      </pic:pic>
                      <pic:pic>
                        <pic:nvPicPr>
                          <pic:cNvPr id="19" name="Image 19"/>
                          <pic:cNvPicPr/>
                        </pic:nvPicPr>
                        <pic:blipFill>
                          <a:blip r:embed="rId17" cstate="print"/>
                          <a:stretch>
                            <a:fillRect/>
                          </a:stretch>
                        </pic:blipFill>
                        <pic:spPr>
                          <a:xfrm>
                            <a:off x="0" y="822960"/>
                            <a:ext cx="3968496" cy="548640"/>
                          </a:xfrm>
                          <a:prstGeom prst="rect">
                            <a:avLst/>
                          </a:prstGeom>
                        </pic:spPr>
                      </pic:pic>
                      <pic:pic>
                        <pic:nvPicPr>
                          <pic:cNvPr id="20" name="Image 20"/>
                          <pic:cNvPicPr/>
                        </pic:nvPicPr>
                        <pic:blipFill>
                          <a:blip r:embed="rId18" cstate="print"/>
                          <a:stretch>
                            <a:fillRect/>
                          </a:stretch>
                        </pic:blipFill>
                        <pic:spPr>
                          <a:xfrm>
                            <a:off x="0" y="1097280"/>
                            <a:ext cx="3968496" cy="548640"/>
                          </a:xfrm>
                          <a:prstGeom prst="rect">
                            <a:avLst/>
                          </a:prstGeom>
                        </pic:spPr>
                      </pic:pic>
                      <pic:pic>
                        <pic:nvPicPr>
                          <pic:cNvPr id="21" name="Image 21"/>
                          <pic:cNvPicPr/>
                        </pic:nvPicPr>
                        <pic:blipFill>
                          <a:blip r:embed="rId19" cstate="print"/>
                          <a:stretch>
                            <a:fillRect/>
                          </a:stretch>
                        </pic:blipFill>
                        <pic:spPr>
                          <a:xfrm>
                            <a:off x="0" y="1371600"/>
                            <a:ext cx="3968496" cy="548640"/>
                          </a:xfrm>
                          <a:prstGeom prst="rect">
                            <a:avLst/>
                          </a:prstGeom>
                        </pic:spPr>
                      </pic:pic>
                      <pic:pic>
                        <pic:nvPicPr>
                          <pic:cNvPr id="22" name="Image 22"/>
                          <pic:cNvPicPr/>
                        </pic:nvPicPr>
                        <pic:blipFill>
                          <a:blip r:embed="rId20" cstate="print"/>
                          <a:stretch>
                            <a:fillRect/>
                          </a:stretch>
                        </pic:blipFill>
                        <pic:spPr>
                          <a:xfrm>
                            <a:off x="0" y="1645920"/>
                            <a:ext cx="3968496" cy="548639"/>
                          </a:xfrm>
                          <a:prstGeom prst="rect">
                            <a:avLst/>
                          </a:prstGeom>
                        </pic:spPr>
                      </pic:pic>
                      <pic:pic>
                        <pic:nvPicPr>
                          <pic:cNvPr id="23" name="Image 23"/>
                          <pic:cNvPicPr/>
                        </pic:nvPicPr>
                        <pic:blipFill>
                          <a:blip r:embed="rId21" cstate="print"/>
                          <a:stretch>
                            <a:fillRect/>
                          </a:stretch>
                        </pic:blipFill>
                        <pic:spPr>
                          <a:xfrm>
                            <a:off x="0" y="1920239"/>
                            <a:ext cx="3968496" cy="499872"/>
                          </a:xfrm>
                          <a:prstGeom prst="rect">
                            <a:avLst/>
                          </a:prstGeom>
                        </pic:spPr>
                      </pic:pic>
                      <pic:pic>
                        <pic:nvPicPr>
                          <pic:cNvPr id="24" name="Image 24"/>
                          <pic:cNvPicPr/>
                        </pic:nvPicPr>
                        <pic:blipFill>
                          <a:blip r:embed="rId22" cstate="print"/>
                          <a:stretch>
                            <a:fillRect/>
                          </a:stretch>
                        </pic:blipFill>
                        <pic:spPr>
                          <a:xfrm>
                            <a:off x="0" y="2194560"/>
                            <a:ext cx="3968496" cy="225552"/>
                          </a:xfrm>
                          <a:prstGeom prst="rect">
                            <a:avLst/>
                          </a:prstGeom>
                        </pic:spPr>
                      </pic:pic>
                    </wpg:wgp>
                  </a:graphicData>
                </a:graphic>
              </wp:anchor>
            </w:drawing>
          </mc:Choice>
          <mc:Fallback>
            <w:pict>
              <v:group style="position:absolute;margin-left:141.600006pt;margin-top:18.599218pt;width:312.5pt;height:190.6pt;mso-position-horizontal-relative:page;mso-position-vertical-relative:paragraph;z-index:-15727616;mso-wrap-distance-left:0;mso-wrap-distance-right:0" id="docshapegroup14" coordorigin="2832,372" coordsize="6250,3812">
                <v:shape style="position:absolute;left:2832;top:371;width:6250;height:864" type="#_x0000_t75" id="docshape15" stroked="false">
                  <v:imagedata r:id="rId14" o:title=""/>
                </v:shape>
                <v:shape style="position:absolute;left:2832;top:803;width:6250;height:864" type="#_x0000_t75" id="docshape16" stroked="false">
                  <v:imagedata r:id="rId15" o:title=""/>
                </v:shape>
                <v:shape style="position:absolute;left:2832;top:1235;width:6250;height:864" type="#_x0000_t75" id="docshape17" stroked="false">
                  <v:imagedata r:id="rId16" o:title=""/>
                </v:shape>
                <v:shape style="position:absolute;left:2832;top:1667;width:6250;height:864" type="#_x0000_t75" id="docshape18" stroked="false">
                  <v:imagedata r:id="rId17" o:title=""/>
                </v:shape>
                <v:shape style="position:absolute;left:2832;top:2099;width:6250;height:864" type="#_x0000_t75" id="docshape19" stroked="false">
                  <v:imagedata r:id="rId18" o:title=""/>
                </v:shape>
                <v:shape style="position:absolute;left:2832;top:2531;width:6250;height:864" type="#_x0000_t75" id="docshape20" stroked="false">
                  <v:imagedata r:id="rId19" o:title=""/>
                </v:shape>
                <v:shape style="position:absolute;left:2832;top:2963;width:6250;height:864" type="#_x0000_t75" id="docshape21" stroked="false">
                  <v:imagedata r:id="rId20" o:title=""/>
                </v:shape>
                <v:shape style="position:absolute;left:2832;top:3395;width:6250;height:788" type="#_x0000_t75" id="docshape22" stroked="false">
                  <v:imagedata r:id="rId21" o:title=""/>
                </v:shape>
                <v:shape style="position:absolute;left:2832;top:3827;width:6250;height:356" type="#_x0000_t75" id="docshape23" stroked="false">
                  <v:imagedata r:id="rId22" o:title=""/>
                </v:shape>
                <w10:wrap type="topAndBottom"/>
              </v:group>
            </w:pict>
          </mc:Fallback>
        </mc:AlternateContent>
      </w:r>
      <w:r>
        <w:rPr>
          <w:sz w:val="16"/>
        </w:rPr>
        <w:t>Figure</w:t>
      </w:r>
      <w:r>
        <w:rPr>
          <w:spacing w:val="-8"/>
          <w:sz w:val="16"/>
        </w:rPr>
        <w:t> </w:t>
      </w:r>
      <w:r>
        <w:rPr>
          <w:sz w:val="16"/>
        </w:rPr>
        <w:t>1:</w:t>
      </w:r>
      <w:r>
        <w:rPr>
          <w:spacing w:val="-1"/>
          <w:sz w:val="16"/>
        </w:rPr>
        <w:t> </w:t>
      </w:r>
      <w:r>
        <w:rPr>
          <w:sz w:val="16"/>
        </w:rPr>
        <w:t>Solid</w:t>
      </w:r>
      <w:r>
        <w:rPr>
          <w:spacing w:val="-2"/>
          <w:sz w:val="16"/>
        </w:rPr>
        <w:t> </w:t>
      </w:r>
      <w:r>
        <w:rPr>
          <w:sz w:val="16"/>
        </w:rPr>
        <w:t>lipid</w:t>
      </w:r>
      <w:r>
        <w:rPr>
          <w:spacing w:val="-3"/>
          <w:sz w:val="16"/>
        </w:rPr>
        <w:t> </w:t>
      </w:r>
      <w:r>
        <w:rPr>
          <w:sz w:val="16"/>
        </w:rPr>
        <w:t>nanoparticle</w:t>
      </w:r>
      <w:r>
        <w:rPr>
          <w:spacing w:val="1"/>
          <w:sz w:val="16"/>
        </w:rPr>
        <w:t> </w:t>
      </w:r>
      <w:r>
        <w:rPr>
          <w:sz w:val="16"/>
        </w:rPr>
        <w:t>containing</w:t>
      </w:r>
      <w:r>
        <w:rPr>
          <w:spacing w:val="-2"/>
          <w:sz w:val="16"/>
        </w:rPr>
        <w:t> </w:t>
      </w:r>
      <w:r>
        <w:rPr>
          <w:sz w:val="16"/>
        </w:rPr>
        <w:t>lipophilic</w:t>
      </w:r>
      <w:r>
        <w:rPr>
          <w:spacing w:val="-3"/>
          <w:sz w:val="16"/>
        </w:rPr>
        <w:t> </w:t>
      </w:r>
      <w:r>
        <w:rPr>
          <w:sz w:val="16"/>
        </w:rPr>
        <w:t>drug</w:t>
      </w:r>
      <w:r>
        <w:rPr>
          <w:spacing w:val="-2"/>
          <w:sz w:val="16"/>
        </w:rPr>
        <w:t> </w:t>
      </w:r>
      <w:r>
        <w:rPr>
          <w:sz w:val="16"/>
        </w:rPr>
        <w:t>in</w:t>
      </w:r>
      <w:r>
        <w:rPr>
          <w:spacing w:val="-3"/>
          <w:sz w:val="16"/>
        </w:rPr>
        <w:t> </w:t>
      </w:r>
      <w:r>
        <w:rPr>
          <w:sz w:val="16"/>
        </w:rPr>
        <w:t>lipid</w:t>
      </w:r>
      <w:r>
        <w:rPr>
          <w:spacing w:val="-3"/>
          <w:sz w:val="16"/>
        </w:rPr>
        <w:t> </w:t>
      </w:r>
      <w:r>
        <w:rPr>
          <w:sz w:val="16"/>
        </w:rPr>
        <w:t>core</w:t>
      </w:r>
      <w:r>
        <w:rPr>
          <w:spacing w:val="-2"/>
          <w:sz w:val="16"/>
        </w:rPr>
        <w:t> </w:t>
      </w:r>
      <w:r>
        <w:rPr>
          <w:sz w:val="16"/>
        </w:rPr>
        <w:t>comparing</w:t>
      </w:r>
      <w:r>
        <w:rPr>
          <w:spacing w:val="-3"/>
          <w:sz w:val="16"/>
        </w:rPr>
        <w:t> </w:t>
      </w:r>
      <w:r>
        <w:rPr>
          <w:sz w:val="16"/>
        </w:rPr>
        <w:t>with</w:t>
      </w:r>
      <w:r>
        <w:rPr>
          <w:spacing w:val="-3"/>
          <w:sz w:val="16"/>
        </w:rPr>
        <w:t> </w:t>
      </w:r>
      <w:r>
        <w:rPr>
          <w:spacing w:val="-2"/>
          <w:sz w:val="16"/>
        </w:rPr>
        <w:t>emulsion.</w:t>
      </w:r>
    </w:p>
    <w:p>
      <w:pPr>
        <w:spacing w:after="0"/>
        <w:jc w:val="center"/>
        <w:rPr>
          <w:sz w:val="16"/>
        </w:rPr>
        <w:sectPr>
          <w:type w:val="continuous"/>
          <w:pgSz w:w="11900" w:h="16820"/>
          <w:pgMar w:header="609" w:footer="849" w:top="1080" w:bottom="1040" w:left="708" w:right="708"/>
        </w:sectPr>
      </w:pPr>
    </w:p>
    <w:p>
      <w:pPr>
        <w:spacing w:before="97"/>
        <w:ind w:left="7" w:right="7" w:firstLine="0"/>
        <w:jc w:val="center"/>
        <w:rPr>
          <w:sz w:val="16"/>
        </w:rPr>
      </w:pPr>
      <w:r>
        <w:rPr>
          <w:sz w:val="16"/>
        </w:rPr>
        <w:t>Figure</w:t>
      </w:r>
      <w:r>
        <w:rPr>
          <w:spacing w:val="-8"/>
          <w:sz w:val="16"/>
        </w:rPr>
        <w:t> </w:t>
      </w:r>
      <w:r>
        <w:rPr>
          <w:sz w:val="16"/>
        </w:rPr>
        <w:t>2:</w:t>
      </w:r>
      <w:r>
        <w:rPr>
          <w:spacing w:val="4"/>
          <w:sz w:val="16"/>
        </w:rPr>
        <w:t> </w:t>
      </w:r>
      <w:r>
        <w:rPr>
          <w:sz w:val="16"/>
        </w:rPr>
        <w:t>Various</w:t>
      </w:r>
      <w:r>
        <w:rPr>
          <w:spacing w:val="-3"/>
          <w:sz w:val="16"/>
        </w:rPr>
        <w:t> </w:t>
      </w:r>
      <w:r>
        <w:rPr>
          <w:sz w:val="16"/>
        </w:rPr>
        <w:t>mechanisms</w:t>
      </w:r>
      <w:r>
        <w:rPr>
          <w:spacing w:val="-4"/>
          <w:sz w:val="16"/>
        </w:rPr>
        <w:t> </w:t>
      </w:r>
      <w:r>
        <w:rPr>
          <w:sz w:val="16"/>
        </w:rPr>
        <w:t>of</w:t>
      </w:r>
      <w:r>
        <w:rPr>
          <w:spacing w:val="-4"/>
          <w:sz w:val="16"/>
        </w:rPr>
        <w:t> </w:t>
      </w:r>
      <w:r>
        <w:rPr>
          <w:sz w:val="16"/>
        </w:rPr>
        <w:t>enhancement</w:t>
      </w:r>
      <w:r>
        <w:rPr>
          <w:spacing w:val="-1"/>
          <w:sz w:val="16"/>
        </w:rPr>
        <w:t> </w:t>
      </w:r>
      <w:r>
        <w:rPr>
          <w:sz w:val="16"/>
        </w:rPr>
        <w:t>of</w:t>
      </w:r>
      <w:r>
        <w:rPr>
          <w:spacing w:val="1"/>
          <w:sz w:val="16"/>
        </w:rPr>
        <w:t> </w:t>
      </w:r>
      <w:r>
        <w:rPr>
          <w:sz w:val="16"/>
        </w:rPr>
        <w:t>drug</w:t>
      </w:r>
      <w:r>
        <w:rPr>
          <w:spacing w:val="-3"/>
          <w:sz w:val="16"/>
        </w:rPr>
        <w:t> </w:t>
      </w:r>
      <w:r>
        <w:rPr>
          <w:sz w:val="16"/>
        </w:rPr>
        <w:t>bioavailability</w:t>
      </w:r>
      <w:r>
        <w:rPr>
          <w:spacing w:val="-6"/>
          <w:sz w:val="16"/>
        </w:rPr>
        <w:t> </w:t>
      </w:r>
      <w:r>
        <w:rPr>
          <w:sz w:val="16"/>
        </w:rPr>
        <w:t>in</w:t>
      </w:r>
      <w:r>
        <w:rPr>
          <w:spacing w:val="-3"/>
          <w:sz w:val="16"/>
        </w:rPr>
        <w:t> </w:t>
      </w:r>
      <w:r>
        <w:rPr>
          <w:sz w:val="16"/>
        </w:rPr>
        <w:t>the</w:t>
      </w:r>
      <w:r>
        <w:rPr>
          <w:spacing w:val="-2"/>
          <w:sz w:val="16"/>
        </w:rPr>
        <w:t> </w:t>
      </w:r>
      <w:r>
        <w:rPr>
          <w:sz w:val="16"/>
        </w:rPr>
        <w:t>presence</w:t>
      </w:r>
      <w:r>
        <w:rPr>
          <w:spacing w:val="-3"/>
          <w:sz w:val="16"/>
        </w:rPr>
        <w:t> </w:t>
      </w:r>
      <w:r>
        <w:rPr>
          <w:sz w:val="16"/>
        </w:rPr>
        <w:t>of</w:t>
      </w:r>
      <w:r>
        <w:rPr>
          <w:spacing w:val="-4"/>
          <w:sz w:val="16"/>
        </w:rPr>
        <w:t> </w:t>
      </w:r>
      <w:r>
        <w:rPr>
          <w:spacing w:val="-2"/>
          <w:sz w:val="16"/>
        </w:rPr>
        <w:t>lipids.</w:t>
      </w:r>
    </w:p>
    <w:p>
      <w:pPr>
        <w:pStyle w:val="BodyText"/>
        <w:spacing w:before="10"/>
        <w:ind w:left="0"/>
        <w:jc w:val="left"/>
        <w:rPr>
          <w:sz w:val="14"/>
        </w:rPr>
      </w:pPr>
      <w:r>
        <w:rPr>
          <w:sz w:val="14"/>
        </w:rPr>
        <mc:AlternateContent>
          <mc:Choice Requires="wps">
            <w:drawing>
              <wp:anchor distT="0" distB="0" distL="0" distR="0" allowOverlap="1" layoutInCell="1" locked="0" behindDoc="1" simplePos="0" relativeHeight="487589376">
                <wp:simplePos x="0" y="0"/>
                <wp:positionH relativeFrom="page">
                  <wp:posOffset>1341119</wp:posOffset>
                </wp:positionH>
                <wp:positionV relativeFrom="paragraph">
                  <wp:posOffset>124396</wp:posOffset>
                </wp:positionV>
                <wp:extent cx="4883150" cy="281686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4883150" cy="2816860"/>
                          <a:chExt cx="4883150" cy="2816860"/>
                        </a:xfrm>
                      </wpg:grpSpPr>
                      <pic:pic>
                        <pic:nvPicPr>
                          <pic:cNvPr id="26" name="Image 26"/>
                          <pic:cNvPicPr/>
                        </pic:nvPicPr>
                        <pic:blipFill>
                          <a:blip r:embed="rId23" cstate="print"/>
                          <a:stretch>
                            <a:fillRect/>
                          </a:stretch>
                        </pic:blipFill>
                        <pic:spPr>
                          <a:xfrm>
                            <a:off x="0" y="0"/>
                            <a:ext cx="4882896" cy="475487"/>
                          </a:xfrm>
                          <a:prstGeom prst="rect">
                            <a:avLst/>
                          </a:prstGeom>
                        </pic:spPr>
                      </pic:pic>
                      <pic:pic>
                        <pic:nvPicPr>
                          <pic:cNvPr id="27" name="Image 27"/>
                          <pic:cNvPicPr/>
                        </pic:nvPicPr>
                        <pic:blipFill>
                          <a:blip r:embed="rId24" cstate="print"/>
                          <a:stretch>
                            <a:fillRect/>
                          </a:stretch>
                        </pic:blipFill>
                        <pic:spPr>
                          <a:xfrm>
                            <a:off x="0" y="237743"/>
                            <a:ext cx="4882896" cy="475488"/>
                          </a:xfrm>
                          <a:prstGeom prst="rect">
                            <a:avLst/>
                          </a:prstGeom>
                        </pic:spPr>
                      </pic:pic>
                      <pic:pic>
                        <pic:nvPicPr>
                          <pic:cNvPr id="28" name="Image 28"/>
                          <pic:cNvPicPr/>
                        </pic:nvPicPr>
                        <pic:blipFill>
                          <a:blip r:embed="rId25" cstate="print"/>
                          <a:stretch>
                            <a:fillRect/>
                          </a:stretch>
                        </pic:blipFill>
                        <pic:spPr>
                          <a:xfrm>
                            <a:off x="0" y="475487"/>
                            <a:ext cx="4882896" cy="475488"/>
                          </a:xfrm>
                          <a:prstGeom prst="rect">
                            <a:avLst/>
                          </a:prstGeom>
                        </pic:spPr>
                      </pic:pic>
                      <pic:pic>
                        <pic:nvPicPr>
                          <pic:cNvPr id="29" name="Image 29"/>
                          <pic:cNvPicPr/>
                        </pic:nvPicPr>
                        <pic:blipFill>
                          <a:blip r:embed="rId26" cstate="print"/>
                          <a:stretch>
                            <a:fillRect/>
                          </a:stretch>
                        </pic:blipFill>
                        <pic:spPr>
                          <a:xfrm>
                            <a:off x="0" y="713231"/>
                            <a:ext cx="4882896" cy="475487"/>
                          </a:xfrm>
                          <a:prstGeom prst="rect">
                            <a:avLst/>
                          </a:prstGeom>
                        </pic:spPr>
                      </pic:pic>
                      <pic:pic>
                        <pic:nvPicPr>
                          <pic:cNvPr id="30" name="Image 30"/>
                          <pic:cNvPicPr/>
                        </pic:nvPicPr>
                        <pic:blipFill>
                          <a:blip r:embed="rId27" cstate="print"/>
                          <a:stretch>
                            <a:fillRect/>
                          </a:stretch>
                        </pic:blipFill>
                        <pic:spPr>
                          <a:xfrm>
                            <a:off x="0" y="950975"/>
                            <a:ext cx="4882896" cy="475488"/>
                          </a:xfrm>
                          <a:prstGeom prst="rect">
                            <a:avLst/>
                          </a:prstGeom>
                        </pic:spPr>
                      </pic:pic>
                      <pic:pic>
                        <pic:nvPicPr>
                          <pic:cNvPr id="31" name="Image 31"/>
                          <pic:cNvPicPr/>
                        </pic:nvPicPr>
                        <pic:blipFill>
                          <a:blip r:embed="rId28" cstate="print"/>
                          <a:stretch>
                            <a:fillRect/>
                          </a:stretch>
                        </pic:blipFill>
                        <pic:spPr>
                          <a:xfrm>
                            <a:off x="0" y="1188719"/>
                            <a:ext cx="4882896" cy="475488"/>
                          </a:xfrm>
                          <a:prstGeom prst="rect">
                            <a:avLst/>
                          </a:prstGeom>
                        </pic:spPr>
                      </pic:pic>
                      <pic:pic>
                        <pic:nvPicPr>
                          <pic:cNvPr id="32" name="Image 32"/>
                          <pic:cNvPicPr/>
                        </pic:nvPicPr>
                        <pic:blipFill>
                          <a:blip r:embed="rId29" cstate="print"/>
                          <a:stretch>
                            <a:fillRect/>
                          </a:stretch>
                        </pic:blipFill>
                        <pic:spPr>
                          <a:xfrm>
                            <a:off x="0" y="1426463"/>
                            <a:ext cx="4882896" cy="475488"/>
                          </a:xfrm>
                          <a:prstGeom prst="rect">
                            <a:avLst/>
                          </a:prstGeom>
                        </pic:spPr>
                      </pic:pic>
                      <pic:pic>
                        <pic:nvPicPr>
                          <pic:cNvPr id="33" name="Image 33"/>
                          <pic:cNvPicPr/>
                        </pic:nvPicPr>
                        <pic:blipFill>
                          <a:blip r:embed="rId30" cstate="print"/>
                          <a:stretch>
                            <a:fillRect/>
                          </a:stretch>
                        </pic:blipFill>
                        <pic:spPr>
                          <a:xfrm>
                            <a:off x="0" y="1664207"/>
                            <a:ext cx="4882896" cy="475488"/>
                          </a:xfrm>
                          <a:prstGeom prst="rect">
                            <a:avLst/>
                          </a:prstGeom>
                        </pic:spPr>
                      </pic:pic>
                      <pic:pic>
                        <pic:nvPicPr>
                          <pic:cNvPr id="34" name="Image 34"/>
                          <pic:cNvPicPr/>
                        </pic:nvPicPr>
                        <pic:blipFill>
                          <a:blip r:embed="rId31" cstate="print"/>
                          <a:stretch>
                            <a:fillRect/>
                          </a:stretch>
                        </pic:blipFill>
                        <pic:spPr>
                          <a:xfrm>
                            <a:off x="0" y="1901951"/>
                            <a:ext cx="4882896" cy="475488"/>
                          </a:xfrm>
                          <a:prstGeom prst="rect">
                            <a:avLst/>
                          </a:prstGeom>
                        </pic:spPr>
                      </pic:pic>
                      <pic:pic>
                        <pic:nvPicPr>
                          <pic:cNvPr id="35" name="Image 35"/>
                          <pic:cNvPicPr/>
                        </pic:nvPicPr>
                        <pic:blipFill>
                          <a:blip r:embed="rId32" cstate="print"/>
                          <a:stretch>
                            <a:fillRect/>
                          </a:stretch>
                        </pic:blipFill>
                        <pic:spPr>
                          <a:xfrm>
                            <a:off x="0" y="2139695"/>
                            <a:ext cx="4882896" cy="475487"/>
                          </a:xfrm>
                          <a:prstGeom prst="rect">
                            <a:avLst/>
                          </a:prstGeom>
                        </pic:spPr>
                      </pic:pic>
                      <pic:pic>
                        <pic:nvPicPr>
                          <pic:cNvPr id="36" name="Image 36"/>
                          <pic:cNvPicPr/>
                        </pic:nvPicPr>
                        <pic:blipFill>
                          <a:blip r:embed="rId33" cstate="print"/>
                          <a:stretch>
                            <a:fillRect/>
                          </a:stretch>
                        </pic:blipFill>
                        <pic:spPr>
                          <a:xfrm>
                            <a:off x="0" y="2377439"/>
                            <a:ext cx="4882896" cy="438912"/>
                          </a:xfrm>
                          <a:prstGeom prst="rect">
                            <a:avLst/>
                          </a:prstGeom>
                        </pic:spPr>
                      </pic:pic>
                      <pic:pic>
                        <pic:nvPicPr>
                          <pic:cNvPr id="37" name="Image 37"/>
                          <pic:cNvPicPr/>
                        </pic:nvPicPr>
                        <pic:blipFill>
                          <a:blip r:embed="rId34" cstate="print"/>
                          <a:stretch>
                            <a:fillRect/>
                          </a:stretch>
                        </pic:blipFill>
                        <pic:spPr>
                          <a:xfrm>
                            <a:off x="0" y="2615183"/>
                            <a:ext cx="4882896" cy="201168"/>
                          </a:xfrm>
                          <a:prstGeom prst="rect">
                            <a:avLst/>
                          </a:prstGeom>
                        </pic:spPr>
                      </pic:pic>
                    </wpg:wgp>
                  </a:graphicData>
                </a:graphic>
              </wp:anchor>
            </w:drawing>
          </mc:Choice>
          <mc:Fallback>
            <w:pict>
              <v:group style="position:absolute;margin-left:105.599998pt;margin-top:9.795038pt;width:384.5pt;height:221.8pt;mso-position-horizontal-relative:page;mso-position-vertical-relative:paragraph;z-index:-15727104;mso-wrap-distance-left:0;mso-wrap-distance-right:0" id="docshapegroup24" coordorigin="2112,196" coordsize="7690,4436">
                <v:shape style="position:absolute;left:2112;top:195;width:7690;height:749" type="#_x0000_t75" id="docshape25" stroked="false">
                  <v:imagedata r:id="rId23" o:title=""/>
                </v:shape>
                <v:shape style="position:absolute;left:2112;top:570;width:7690;height:749" type="#_x0000_t75" id="docshape26" stroked="false">
                  <v:imagedata r:id="rId24" o:title=""/>
                </v:shape>
                <v:shape style="position:absolute;left:2112;top:944;width:7690;height:749" type="#_x0000_t75" id="docshape27" stroked="false">
                  <v:imagedata r:id="rId25" o:title=""/>
                </v:shape>
                <v:shape style="position:absolute;left:2112;top:1319;width:7690;height:749" type="#_x0000_t75" id="docshape28" stroked="false">
                  <v:imagedata r:id="rId26" o:title=""/>
                </v:shape>
                <v:shape style="position:absolute;left:2112;top:1693;width:7690;height:749" type="#_x0000_t75" id="docshape29" stroked="false">
                  <v:imagedata r:id="rId27" o:title=""/>
                </v:shape>
                <v:shape style="position:absolute;left:2112;top:2067;width:7690;height:749" type="#_x0000_t75" id="docshape30" stroked="false">
                  <v:imagedata r:id="rId28" o:title=""/>
                </v:shape>
                <v:shape style="position:absolute;left:2112;top:2442;width:7690;height:749" type="#_x0000_t75" id="docshape31" stroked="false">
                  <v:imagedata r:id="rId29" o:title=""/>
                </v:shape>
                <v:shape style="position:absolute;left:2112;top:2816;width:7690;height:749" type="#_x0000_t75" id="docshape32" stroked="false">
                  <v:imagedata r:id="rId30" o:title=""/>
                </v:shape>
                <v:shape style="position:absolute;left:2112;top:3191;width:7690;height:749" type="#_x0000_t75" id="docshape33" stroked="false">
                  <v:imagedata r:id="rId31" o:title=""/>
                </v:shape>
                <v:shape style="position:absolute;left:2112;top:3565;width:7690;height:749" type="#_x0000_t75" id="docshape34" stroked="false">
                  <v:imagedata r:id="rId32" o:title=""/>
                </v:shape>
                <v:shape style="position:absolute;left:2112;top:3939;width:7690;height:692" type="#_x0000_t75" id="docshape35" stroked="false">
                  <v:imagedata r:id="rId33" o:title=""/>
                </v:shape>
                <v:shape style="position:absolute;left:2112;top:4314;width:7690;height:317" type="#_x0000_t75" id="docshape36" stroked="false">
                  <v:imagedata r:id="rId34" o:title=""/>
                </v:shape>
                <w10:wrap type="topAndBottom"/>
              </v:group>
            </w:pict>
          </mc:Fallback>
        </mc:AlternateContent>
      </w:r>
    </w:p>
    <w:p>
      <w:pPr>
        <w:spacing w:before="177" w:after="13"/>
        <w:ind w:left="7" w:right="8" w:firstLine="0"/>
        <w:jc w:val="center"/>
        <w:rPr>
          <w:sz w:val="16"/>
        </w:rPr>
      </w:pPr>
      <w:r>
        <w:rPr>
          <w:sz w:val="16"/>
        </w:rPr>
        <w:t>Figure</w:t>
      </w:r>
      <w:r>
        <w:rPr>
          <w:spacing w:val="-8"/>
          <w:sz w:val="16"/>
        </w:rPr>
        <w:t> </w:t>
      </w:r>
      <w:r>
        <w:rPr>
          <w:sz w:val="16"/>
        </w:rPr>
        <w:t>3:</w:t>
      </w:r>
      <w:r>
        <w:rPr>
          <w:spacing w:val="-1"/>
          <w:sz w:val="16"/>
        </w:rPr>
        <w:t> </w:t>
      </w:r>
      <w:r>
        <w:rPr>
          <w:sz w:val="16"/>
        </w:rPr>
        <w:t>Solid</w:t>
      </w:r>
      <w:r>
        <w:rPr>
          <w:spacing w:val="-3"/>
          <w:sz w:val="16"/>
        </w:rPr>
        <w:t> </w:t>
      </w:r>
      <w:r>
        <w:rPr>
          <w:sz w:val="16"/>
        </w:rPr>
        <w:t>lipid</w:t>
      </w:r>
      <w:r>
        <w:rPr>
          <w:spacing w:val="-4"/>
          <w:sz w:val="16"/>
        </w:rPr>
        <w:t> </w:t>
      </w:r>
      <w:r>
        <w:rPr>
          <w:sz w:val="16"/>
        </w:rPr>
        <w:t>nanoparticles</w:t>
      </w:r>
      <w:r>
        <w:rPr>
          <w:spacing w:val="-4"/>
          <w:sz w:val="16"/>
        </w:rPr>
        <w:t> </w:t>
      </w:r>
      <w:r>
        <w:rPr>
          <w:sz w:val="16"/>
        </w:rPr>
        <w:t>preparation</w:t>
      </w:r>
      <w:r>
        <w:rPr>
          <w:spacing w:val="-3"/>
          <w:sz w:val="16"/>
        </w:rPr>
        <w:t> </w:t>
      </w:r>
      <w:r>
        <w:rPr>
          <w:sz w:val="16"/>
        </w:rPr>
        <w:t>by</w:t>
      </w:r>
      <w:r>
        <w:rPr>
          <w:spacing w:val="-3"/>
          <w:sz w:val="16"/>
        </w:rPr>
        <w:t> </w:t>
      </w:r>
      <w:r>
        <w:rPr>
          <w:sz w:val="16"/>
        </w:rPr>
        <w:t>hot</w:t>
      </w:r>
      <w:r>
        <w:rPr>
          <w:spacing w:val="-1"/>
          <w:sz w:val="16"/>
        </w:rPr>
        <w:t> </w:t>
      </w:r>
      <w:r>
        <w:rPr>
          <w:sz w:val="16"/>
        </w:rPr>
        <w:t>homogenization</w:t>
      </w:r>
      <w:r>
        <w:rPr>
          <w:spacing w:val="-3"/>
          <w:sz w:val="16"/>
        </w:rPr>
        <w:t> </w:t>
      </w:r>
      <w:r>
        <w:rPr>
          <w:spacing w:val="-2"/>
          <w:sz w:val="16"/>
        </w:rPr>
        <w:t>process</w:t>
      </w:r>
    </w:p>
    <w:p>
      <w:pPr>
        <w:pStyle w:val="BodyText"/>
        <w:ind w:left="511"/>
        <w:jc w:val="left"/>
      </w:pPr>
      <w:r>
        <w:rPr/>
        <mc:AlternateContent>
          <mc:Choice Requires="wps">
            <w:drawing>
              <wp:inline distT="0" distB="0" distL="0" distR="0">
                <wp:extent cx="6017260" cy="4279900"/>
                <wp:effectExtent l="0" t="0" r="0" b="6350"/>
                <wp:docPr id="38" name="Group 38"/>
                <wp:cNvGraphicFramePr>
                  <a:graphicFrameLocks/>
                </wp:cNvGraphicFramePr>
                <a:graphic>
                  <a:graphicData uri="http://schemas.microsoft.com/office/word/2010/wordprocessingGroup">
                    <wpg:wgp>
                      <wpg:cNvPr id="38" name="Group 38"/>
                      <wpg:cNvGrpSpPr/>
                      <wpg:grpSpPr>
                        <a:xfrm>
                          <a:off x="0" y="0"/>
                          <a:ext cx="6017260" cy="4279900"/>
                          <a:chExt cx="6017260" cy="4279900"/>
                        </a:xfrm>
                      </wpg:grpSpPr>
                      <pic:pic>
                        <pic:nvPicPr>
                          <pic:cNvPr id="39" name="Image 39"/>
                          <pic:cNvPicPr/>
                        </pic:nvPicPr>
                        <pic:blipFill>
                          <a:blip r:embed="rId35" cstate="print"/>
                          <a:stretch>
                            <a:fillRect/>
                          </a:stretch>
                        </pic:blipFill>
                        <pic:spPr>
                          <a:xfrm>
                            <a:off x="0" y="0"/>
                            <a:ext cx="6016752" cy="390143"/>
                          </a:xfrm>
                          <a:prstGeom prst="rect">
                            <a:avLst/>
                          </a:prstGeom>
                        </pic:spPr>
                      </pic:pic>
                      <pic:pic>
                        <pic:nvPicPr>
                          <pic:cNvPr id="40" name="Image 40"/>
                          <pic:cNvPicPr/>
                        </pic:nvPicPr>
                        <pic:blipFill>
                          <a:blip r:embed="rId36" cstate="print"/>
                          <a:stretch>
                            <a:fillRect/>
                          </a:stretch>
                        </pic:blipFill>
                        <pic:spPr>
                          <a:xfrm>
                            <a:off x="0" y="195071"/>
                            <a:ext cx="6016752" cy="390143"/>
                          </a:xfrm>
                          <a:prstGeom prst="rect">
                            <a:avLst/>
                          </a:prstGeom>
                        </pic:spPr>
                      </pic:pic>
                      <pic:pic>
                        <pic:nvPicPr>
                          <pic:cNvPr id="41" name="Image 41"/>
                          <pic:cNvPicPr/>
                        </pic:nvPicPr>
                        <pic:blipFill>
                          <a:blip r:embed="rId37" cstate="print"/>
                          <a:stretch>
                            <a:fillRect/>
                          </a:stretch>
                        </pic:blipFill>
                        <pic:spPr>
                          <a:xfrm>
                            <a:off x="0" y="390143"/>
                            <a:ext cx="6016752" cy="390144"/>
                          </a:xfrm>
                          <a:prstGeom prst="rect">
                            <a:avLst/>
                          </a:prstGeom>
                        </pic:spPr>
                      </pic:pic>
                      <pic:pic>
                        <pic:nvPicPr>
                          <pic:cNvPr id="42" name="Image 42"/>
                          <pic:cNvPicPr/>
                        </pic:nvPicPr>
                        <pic:blipFill>
                          <a:blip r:embed="rId38" cstate="print"/>
                          <a:stretch>
                            <a:fillRect/>
                          </a:stretch>
                        </pic:blipFill>
                        <pic:spPr>
                          <a:xfrm>
                            <a:off x="0" y="585216"/>
                            <a:ext cx="6016752" cy="390144"/>
                          </a:xfrm>
                          <a:prstGeom prst="rect">
                            <a:avLst/>
                          </a:prstGeom>
                        </pic:spPr>
                      </pic:pic>
                      <pic:pic>
                        <pic:nvPicPr>
                          <pic:cNvPr id="43" name="Image 43"/>
                          <pic:cNvPicPr/>
                        </pic:nvPicPr>
                        <pic:blipFill>
                          <a:blip r:embed="rId39" cstate="print"/>
                          <a:stretch>
                            <a:fillRect/>
                          </a:stretch>
                        </pic:blipFill>
                        <pic:spPr>
                          <a:xfrm>
                            <a:off x="0" y="780287"/>
                            <a:ext cx="6016752" cy="390144"/>
                          </a:xfrm>
                          <a:prstGeom prst="rect">
                            <a:avLst/>
                          </a:prstGeom>
                        </pic:spPr>
                      </pic:pic>
                      <pic:pic>
                        <pic:nvPicPr>
                          <pic:cNvPr id="44" name="Image 44"/>
                          <pic:cNvPicPr/>
                        </pic:nvPicPr>
                        <pic:blipFill>
                          <a:blip r:embed="rId40" cstate="print"/>
                          <a:stretch>
                            <a:fillRect/>
                          </a:stretch>
                        </pic:blipFill>
                        <pic:spPr>
                          <a:xfrm>
                            <a:off x="0" y="975360"/>
                            <a:ext cx="6016752" cy="390144"/>
                          </a:xfrm>
                          <a:prstGeom prst="rect">
                            <a:avLst/>
                          </a:prstGeom>
                        </pic:spPr>
                      </pic:pic>
                      <pic:pic>
                        <pic:nvPicPr>
                          <pic:cNvPr id="45" name="Image 45"/>
                          <pic:cNvPicPr/>
                        </pic:nvPicPr>
                        <pic:blipFill>
                          <a:blip r:embed="rId41" cstate="print"/>
                          <a:stretch>
                            <a:fillRect/>
                          </a:stretch>
                        </pic:blipFill>
                        <pic:spPr>
                          <a:xfrm>
                            <a:off x="0" y="1170432"/>
                            <a:ext cx="6016752" cy="390143"/>
                          </a:xfrm>
                          <a:prstGeom prst="rect">
                            <a:avLst/>
                          </a:prstGeom>
                        </pic:spPr>
                      </pic:pic>
                      <pic:pic>
                        <pic:nvPicPr>
                          <pic:cNvPr id="46" name="Image 46"/>
                          <pic:cNvPicPr/>
                        </pic:nvPicPr>
                        <pic:blipFill>
                          <a:blip r:embed="rId42" cstate="print"/>
                          <a:stretch>
                            <a:fillRect/>
                          </a:stretch>
                        </pic:blipFill>
                        <pic:spPr>
                          <a:xfrm>
                            <a:off x="0" y="1365503"/>
                            <a:ext cx="6016752" cy="390144"/>
                          </a:xfrm>
                          <a:prstGeom prst="rect">
                            <a:avLst/>
                          </a:prstGeom>
                        </pic:spPr>
                      </pic:pic>
                      <pic:pic>
                        <pic:nvPicPr>
                          <pic:cNvPr id="47" name="Image 47"/>
                          <pic:cNvPicPr/>
                        </pic:nvPicPr>
                        <pic:blipFill>
                          <a:blip r:embed="rId43" cstate="print"/>
                          <a:stretch>
                            <a:fillRect/>
                          </a:stretch>
                        </pic:blipFill>
                        <pic:spPr>
                          <a:xfrm>
                            <a:off x="0" y="1560575"/>
                            <a:ext cx="6016752" cy="390144"/>
                          </a:xfrm>
                          <a:prstGeom prst="rect">
                            <a:avLst/>
                          </a:prstGeom>
                        </pic:spPr>
                      </pic:pic>
                      <pic:pic>
                        <pic:nvPicPr>
                          <pic:cNvPr id="48" name="Image 48"/>
                          <pic:cNvPicPr/>
                        </pic:nvPicPr>
                        <pic:blipFill>
                          <a:blip r:embed="rId44" cstate="print"/>
                          <a:stretch>
                            <a:fillRect/>
                          </a:stretch>
                        </pic:blipFill>
                        <pic:spPr>
                          <a:xfrm>
                            <a:off x="0" y="1755648"/>
                            <a:ext cx="6016752" cy="390144"/>
                          </a:xfrm>
                          <a:prstGeom prst="rect">
                            <a:avLst/>
                          </a:prstGeom>
                        </pic:spPr>
                      </pic:pic>
                      <pic:pic>
                        <pic:nvPicPr>
                          <pic:cNvPr id="49" name="Image 49"/>
                          <pic:cNvPicPr/>
                        </pic:nvPicPr>
                        <pic:blipFill>
                          <a:blip r:embed="rId45" cstate="print"/>
                          <a:stretch>
                            <a:fillRect/>
                          </a:stretch>
                        </pic:blipFill>
                        <pic:spPr>
                          <a:xfrm>
                            <a:off x="0" y="1950720"/>
                            <a:ext cx="6016752" cy="390143"/>
                          </a:xfrm>
                          <a:prstGeom prst="rect">
                            <a:avLst/>
                          </a:prstGeom>
                        </pic:spPr>
                      </pic:pic>
                      <pic:pic>
                        <pic:nvPicPr>
                          <pic:cNvPr id="50" name="Image 50"/>
                          <pic:cNvPicPr/>
                        </pic:nvPicPr>
                        <pic:blipFill>
                          <a:blip r:embed="rId46" cstate="print"/>
                          <a:stretch>
                            <a:fillRect/>
                          </a:stretch>
                        </pic:blipFill>
                        <pic:spPr>
                          <a:xfrm>
                            <a:off x="0" y="2145792"/>
                            <a:ext cx="6016752" cy="390144"/>
                          </a:xfrm>
                          <a:prstGeom prst="rect">
                            <a:avLst/>
                          </a:prstGeom>
                        </pic:spPr>
                      </pic:pic>
                      <pic:pic>
                        <pic:nvPicPr>
                          <pic:cNvPr id="51" name="Image 51"/>
                          <pic:cNvPicPr/>
                        </pic:nvPicPr>
                        <pic:blipFill>
                          <a:blip r:embed="rId47" cstate="print"/>
                          <a:stretch>
                            <a:fillRect/>
                          </a:stretch>
                        </pic:blipFill>
                        <pic:spPr>
                          <a:xfrm>
                            <a:off x="0" y="2340864"/>
                            <a:ext cx="6016752" cy="390144"/>
                          </a:xfrm>
                          <a:prstGeom prst="rect">
                            <a:avLst/>
                          </a:prstGeom>
                        </pic:spPr>
                      </pic:pic>
                      <pic:pic>
                        <pic:nvPicPr>
                          <pic:cNvPr id="52" name="Image 52"/>
                          <pic:cNvPicPr/>
                        </pic:nvPicPr>
                        <pic:blipFill>
                          <a:blip r:embed="rId48" cstate="print"/>
                          <a:stretch>
                            <a:fillRect/>
                          </a:stretch>
                        </pic:blipFill>
                        <pic:spPr>
                          <a:xfrm>
                            <a:off x="0" y="2535935"/>
                            <a:ext cx="6016752" cy="390144"/>
                          </a:xfrm>
                          <a:prstGeom prst="rect">
                            <a:avLst/>
                          </a:prstGeom>
                        </pic:spPr>
                      </pic:pic>
                      <pic:pic>
                        <pic:nvPicPr>
                          <pic:cNvPr id="53" name="Image 53"/>
                          <pic:cNvPicPr/>
                        </pic:nvPicPr>
                        <pic:blipFill>
                          <a:blip r:embed="rId49" cstate="print"/>
                          <a:stretch>
                            <a:fillRect/>
                          </a:stretch>
                        </pic:blipFill>
                        <pic:spPr>
                          <a:xfrm>
                            <a:off x="0" y="2731007"/>
                            <a:ext cx="6016752" cy="390144"/>
                          </a:xfrm>
                          <a:prstGeom prst="rect">
                            <a:avLst/>
                          </a:prstGeom>
                        </pic:spPr>
                      </pic:pic>
                      <pic:pic>
                        <pic:nvPicPr>
                          <pic:cNvPr id="54" name="Image 54"/>
                          <pic:cNvPicPr/>
                        </pic:nvPicPr>
                        <pic:blipFill>
                          <a:blip r:embed="rId50" cstate="print"/>
                          <a:stretch>
                            <a:fillRect/>
                          </a:stretch>
                        </pic:blipFill>
                        <pic:spPr>
                          <a:xfrm>
                            <a:off x="0" y="2926079"/>
                            <a:ext cx="6016752" cy="390144"/>
                          </a:xfrm>
                          <a:prstGeom prst="rect">
                            <a:avLst/>
                          </a:prstGeom>
                        </pic:spPr>
                      </pic:pic>
                      <pic:pic>
                        <pic:nvPicPr>
                          <pic:cNvPr id="55" name="Image 55"/>
                          <pic:cNvPicPr/>
                        </pic:nvPicPr>
                        <pic:blipFill>
                          <a:blip r:embed="rId51" cstate="print"/>
                          <a:stretch>
                            <a:fillRect/>
                          </a:stretch>
                        </pic:blipFill>
                        <pic:spPr>
                          <a:xfrm>
                            <a:off x="0" y="3121151"/>
                            <a:ext cx="6016752" cy="390143"/>
                          </a:xfrm>
                          <a:prstGeom prst="rect">
                            <a:avLst/>
                          </a:prstGeom>
                        </pic:spPr>
                      </pic:pic>
                      <pic:pic>
                        <pic:nvPicPr>
                          <pic:cNvPr id="56" name="Image 56"/>
                          <pic:cNvPicPr/>
                        </pic:nvPicPr>
                        <pic:blipFill>
                          <a:blip r:embed="rId52" cstate="print"/>
                          <a:stretch>
                            <a:fillRect/>
                          </a:stretch>
                        </pic:blipFill>
                        <pic:spPr>
                          <a:xfrm>
                            <a:off x="0" y="3316223"/>
                            <a:ext cx="6016752" cy="390144"/>
                          </a:xfrm>
                          <a:prstGeom prst="rect">
                            <a:avLst/>
                          </a:prstGeom>
                        </pic:spPr>
                      </pic:pic>
                      <pic:pic>
                        <pic:nvPicPr>
                          <pic:cNvPr id="57" name="Image 57"/>
                          <pic:cNvPicPr/>
                        </pic:nvPicPr>
                        <pic:blipFill>
                          <a:blip r:embed="rId53" cstate="print"/>
                          <a:stretch>
                            <a:fillRect/>
                          </a:stretch>
                        </pic:blipFill>
                        <pic:spPr>
                          <a:xfrm>
                            <a:off x="0" y="3511296"/>
                            <a:ext cx="6016752" cy="390144"/>
                          </a:xfrm>
                          <a:prstGeom prst="rect">
                            <a:avLst/>
                          </a:prstGeom>
                        </pic:spPr>
                      </pic:pic>
                      <pic:pic>
                        <pic:nvPicPr>
                          <pic:cNvPr id="58" name="Image 58"/>
                          <pic:cNvPicPr/>
                        </pic:nvPicPr>
                        <pic:blipFill>
                          <a:blip r:embed="rId54" cstate="print"/>
                          <a:stretch>
                            <a:fillRect/>
                          </a:stretch>
                        </pic:blipFill>
                        <pic:spPr>
                          <a:xfrm>
                            <a:off x="0" y="3706367"/>
                            <a:ext cx="6016752" cy="390144"/>
                          </a:xfrm>
                          <a:prstGeom prst="rect">
                            <a:avLst/>
                          </a:prstGeom>
                        </pic:spPr>
                      </pic:pic>
                      <pic:pic>
                        <pic:nvPicPr>
                          <pic:cNvPr id="59" name="Image 59"/>
                          <pic:cNvPicPr/>
                        </pic:nvPicPr>
                        <pic:blipFill>
                          <a:blip r:embed="rId55" cstate="print"/>
                          <a:stretch>
                            <a:fillRect/>
                          </a:stretch>
                        </pic:blipFill>
                        <pic:spPr>
                          <a:xfrm>
                            <a:off x="0" y="3901440"/>
                            <a:ext cx="6016752" cy="377951"/>
                          </a:xfrm>
                          <a:prstGeom prst="rect">
                            <a:avLst/>
                          </a:prstGeom>
                        </pic:spPr>
                      </pic:pic>
                      <pic:pic>
                        <pic:nvPicPr>
                          <pic:cNvPr id="60" name="Image 60"/>
                          <pic:cNvPicPr/>
                        </pic:nvPicPr>
                        <pic:blipFill>
                          <a:blip r:embed="rId56" cstate="print"/>
                          <a:stretch>
                            <a:fillRect/>
                          </a:stretch>
                        </pic:blipFill>
                        <pic:spPr>
                          <a:xfrm>
                            <a:off x="0" y="4096511"/>
                            <a:ext cx="6016752" cy="182880"/>
                          </a:xfrm>
                          <a:prstGeom prst="rect">
                            <a:avLst/>
                          </a:prstGeom>
                        </pic:spPr>
                      </pic:pic>
                    </wpg:wgp>
                  </a:graphicData>
                </a:graphic>
              </wp:inline>
            </w:drawing>
          </mc:Choice>
          <mc:Fallback>
            <w:pict>
              <v:group style="width:473.8pt;height:337pt;mso-position-horizontal-relative:char;mso-position-vertical-relative:line" id="docshapegroup37" coordorigin="0,0" coordsize="9476,6740">
                <v:shape style="position:absolute;left:0;top:0;width:9476;height:615" type="#_x0000_t75" id="docshape38" stroked="false">
                  <v:imagedata r:id="rId35" o:title=""/>
                </v:shape>
                <v:shape style="position:absolute;left:0;top:307;width:9476;height:615" type="#_x0000_t75" id="docshape39" stroked="false">
                  <v:imagedata r:id="rId36" o:title=""/>
                </v:shape>
                <v:shape style="position:absolute;left:0;top:614;width:9476;height:615" type="#_x0000_t75" id="docshape40" stroked="false">
                  <v:imagedata r:id="rId37" o:title=""/>
                </v:shape>
                <v:shape style="position:absolute;left:0;top:921;width:9476;height:615" type="#_x0000_t75" id="docshape41" stroked="false">
                  <v:imagedata r:id="rId38" o:title=""/>
                </v:shape>
                <v:shape style="position:absolute;left:0;top:1228;width:9476;height:615" type="#_x0000_t75" id="docshape42" stroked="false">
                  <v:imagedata r:id="rId39" o:title=""/>
                </v:shape>
                <v:shape style="position:absolute;left:0;top:1536;width:9476;height:615" type="#_x0000_t75" id="docshape43" stroked="false">
                  <v:imagedata r:id="rId40" o:title=""/>
                </v:shape>
                <v:shape style="position:absolute;left:0;top:1843;width:9476;height:615" type="#_x0000_t75" id="docshape44" stroked="false">
                  <v:imagedata r:id="rId41" o:title=""/>
                </v:shape>
                <v:shape style="position:absolute;left:0;top:2150;width:9476;height:615" type="#_x0000_t75" id="docshape45" stroked="false">
                  <v:imagedata r:id="rId42" o:title=""/>
                </v:shape>
                <v:shape style="position:absolute;left:0;top:2457;width:9476;height:615" type="#_x0000_t75" id="docshape46" stroked="false">
                  <v:imagedata r:id="rId43" o:title=""/>
                </v:shape>
                <v:shape style="position:absolute;left:0;top:2764;width:9476;height:615" type="#_x0000_t75" id="docshape47" stroked="false">
                  <v:imagedata r:id="rId44" o:title=""/>
                </v:shape>
                <v:shape style="position:absolute;left:0;top:3072;width:9476;height:615" type="#_x0000_t75" id="docshape48" stroked="false">
                  <v:imagedata r:id="rId45" o:title=""/>
                </v:shape>
                <v:shape style="position:absolute;left:0;top:3379;width:9476;height:615" type="#_x0000_t75" id="docshape49" stroked="false">
                  <v:imagedata r:id="rId46" o:title=""/>
                </v:shape>
                <v:shape style="position:absolute;left:0;top:3686;width:9476;height:615" type="#_x0000_t75" id="docshape50" stroked="false">
                  <v:imagedata r:id="rId47" o:title=""/>
                </v:shape>
                <v:shape style="position:absolute;left:0;top:3993;width:9476;height:615" type="#_x0000_t75" id="docshape51" stroked="false">
                  <v:imagedata r:id="rId48" o:title=""/>
                </v:shape>
                <v:shape style="position:absolute;left:0;top:4300;width:9476;height:615" type="#_x0000_t75" id="docshape52" stroked="false">
                  <v:imagedata r:id="rId49" o:title=""/>
                </v:shape>
                <v:shape style="position:absolute;left:0;top:4608;width:9476;height:615" type="#_x0000_t75" id="docshape53" stroked="false">
                  <v:imagedata r:id="rId50" o:title=""/>
                </v:shape>
                <v:shape style="position:absolute;left:0;top:4915;width:9476;height:615" type="#_x0000_t75" id="docshape54" stroked="false">
                  <v:imagedata r:id="rId51" o:title=""/>
                </v:shape>
                <v:shape style="position:absolute;left:0;top:5222;width:9476;height:615" type="#_x0000_t75" id="docshape55" stroked="false">
                  <v:imagedata r:id="rId52" o:title=""/>
                </v:shape>
                <v:shape style="position:absolute;left:0;top:5529;width:9476;height:615" type="#_x0000_t75" id="docshape56" stroked="false">
                  <v:imagedata r:id="rId53" o:title=""/>
                </v:shape>
                <v:shape style="position:absolute;left:0;top:5836;width:9476;height:615" type="#_x0000_t75" id="docshape57" stroked="false">
                  <v:imagedata r:id="rId54" o:title=""/>
                </v:shape>
                <v:shape style="position:absolute;left:0;top:6144;width:9476;height:596" type="#_x0000_t75" id="docshape58" stroked="false">
                  <v:imagedata r:id="rId55" o:title=""/>
                </v:shape>
                <v:shape style="position:absolute;left:0;top:6451;width:9476;height:288" type="#_x0000_t75" id="docshape59" stroked="false">
                  <v:imagedata r:id="rId56" o:title=""/>
                </v:shape>
              </v:group>
            </w:pict>
          </mc:Fallback>
        </mc:AlternateContent>
      </w:r>
      <w:r>
        <w:rPr/>
      </w:r>
    </w:p>
    <w:sectPr>
      <w:pgSz w:w="11900" w:h="16820"/>
      <w:pgMar w:header="609" w:footer="849" w:top="1080" w:bottom="104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Georgia">
    <w:altName w:val="Georgia"/>
    <w:charset w:val="1"/>
    <w:family w:val="roman"/>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07264">
              <wp:simplePos x="0" y="0"/>
              <wp:positionH relativeFrom="page">
                <wp:posOffset>521208</wp:posOffset>
              </wp:positionH>
              <wp:positionV relativeFrom="page">
                <wp:posOffset>9963911</wp:posOffset>
              </wp:positionV>
              <wp:extent cx="6517005" cy="55244"/>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517005" cy="55244"/>
                      </a:xfrm>
                      <a:custGeom>
                        <a:avLst/>
                        <a:gdLst/>
                        <a:ahLst/>
                        <a:cxnLst/>
                        <a:rect l="l" t="t" r="r" b="b"/>
                        <a:pathLst>
                          <a:path w="6517005" h="55244">
                            <a:moveTo>
                              <a:pt x="6516624" y="45720"/>
                            </a:moveTo>
                            <a:lnTo>
                              <a:pt x="0" y="45720"/>
                            </a:lnTo>
                            <a:lnTo>
                              <a:pt x="0" y="54864"/>
                            </a:lnTo>
                            <a:lnTo>
                              <a:pt x="6516624" y="54864"/>
                            </a:lnTo>
                            <a:lnTo>
                              <a:pt x="6516624" y="45720"/>
                            </a:lnTo>
                            <a:close/>
                          </a:path>
                          <a:path w="6517005" h="55244">
                            <a:moveTo>
                              <a:pt x="6516624" y="0"/>
                            </a:moveTo>
                            <a:lnTo>
                              <a:pt x="0" y="0"/>
                            </a:lnTo>
                            <a:lnTo>
                              <a:pt x="0" y="36576"/>
                            </a:lnTo>
                            <a:lnTo>
                              <a:pt x="6516624" y="36576"/>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784.559998pt;width:513.15pt;height:4.350pt;mso-position-horizontal-relative:page;mso-position-vertical-relative:page;z-index:-16009216" id="docshape3" coordorigin="821,15691" coordsize="10263,87" path="m11083,15763l821,15763,821,15778,11083,15778,11083,15763xm11083,15691l821,15691,821,15749,11083,15749,11083,15691xe" filled="true" fillcolor="#622423" stroked="false">
              <v:path arrowok="t"/>
              <v:fill type="solid"/>
              <w10:wrap type="none"/>
            </v:shape>
          </w:pict>
        </mc:Fallback>
      </mc:AlternateContent>
    </w:r>
    <w:r>
      <w:rPr/>
      <mc:AlternateContent>
        <mc:Choice Requires="wps">
          <w:drawing>
            <wp:anchor distT="0" distB="0" distL="0" distR="0" allowOverlap="1" layoutInCell="1" locked="0" behindDoc="1" simplePos="0" relativeHeight="487307776">
              <wp:simplePos x="0" y="0"/>
              <wp:positionH relativeFrom="page">
                <wp:posOffset>6510019</wp:posOffset>
              </wp:positionH>
              <wp:positionV relativeFrom="page">
                <wp:posOffset>10042642</wp:posOffset>
              </wp:positionV>
              <wp:extent cx="564515" cy="1536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564515" cy="153670"/>
                      </a:xfrm>
                      <a:prstGeom prst="rect">
                        <a:avLst/>
                      </a:prstGeom>
                    </wps:spPr>
                    <wps:txbx>
                      <w:txbxContent>
                        <w:p>
                          <w:pPr>
                            <w:pStyle w:val="BodyText"/>
                            <w:spacing w:line="218" w:lineRule="exact"/>
                            <w:ind w:left="20"/>
                            <w:jc w:val="left"/>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100</w:t>
                          </w:r>
                          <w:r>
                            <w:rPr>
                              <w:rFonts w:ascii="Cambria"/>
                              <w:spacing w:val="-5"/>
                            </w:rPr>
                            <w:fldChar w:fldCharType="end"/>
                          </w:r>
                        </w:p>
                      </w:txbxContent>
                    </wps:txbx>
                    <wps:bodyPr wrap="square" lIns="0" tIns="0" rIns="0" bIns="0" rtlCol="0">
                      <a:noAutofit/>
                    </wps:bodyPr>
                  </wps:wsp>
                </a:graphicData>
              </a:graphic>
            </wp:anchor>
          </w:drawing>
        </mc:Choice>
        <mc:Fallback>
          <w:pict>
            <v:shape style="position:absolute;margin-left:512.599976pt;margin-top:790.759216pt;width:44.45pt;height:12.1pt;mso-position-horizontal-relative:page;mso-position-vertical-relative:page;z-index:-16008704" type="#_x0000_t202" id="docshape4" filled="false" stroked="false">
              <v:textbox inset="0,0,0,0">
                <w:txbxContent>
                  <w:p>
                    <w:pPr>
                      <w:pStyle w:val="BodyText"/>
                      <w:spacing w:line="218" w:lineRule="exact"/>
                      <w:ind w:left="20"/>
                      <w:jc w:val="left"/>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100</w:t>
                    </w:r>
                    <w:r>
                      <w:rPr>
                        <w:rFonts w:ascii="Cambria"/>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09312">
              <wp:simplePos x="0" y="0"/>
              <wp:positionH relativeFrom="page">
                <wp:posOffset>6510019</wp:posOffset>
              </wp:positionH>
              <wp:positionV relativeFrom="page">
                <wp:posOffset>10042642</wp:posOffset>
              </wp:positionV>
              <wp:extent cx="564515" cy="15367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64515" cy="153670"/>
                      </a:xfrm>
                      <a:prstGeom prst="rect">
                        <a:avLst/>
                      </a:prstGeom>
                    </wps:spPr>
                    <wps:txbx>
                      <w:txbxContent>
                        <w:p>
                          <w:pPr>
                            <w:pStyle w:val="BodyText"/>
                            <w:spacing w:line="218" w:lineRule="exact"/>
                            <w:ind w:left="20"/>
                            <w:jc w:val="left"/>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104</w:t>
                          </w:r>
                          <w:r>
                            <w:rPr>
                              <w:rFonts w:ascii="Cambria"/>
                              <w:spacing w:val="-5"/>
                            </w:rPr>
                            <w:fldChar w:fldCharType="end"/>
                          </w:r>
                        </w:p>
                      </w:txbxContent>
                    </wps:txbx>
                    <wps:bodyPr wrap="square" lIns="0" tIns="0" rIns="0" bIns="0" rtlCol="0">
                      <a:noAutofit/>
                    </wps:bodyPr>
                  </wps:wsp>
                </a:graphicData>
              </a:graphic>
            </wp:anchor>
          </w:drawing>
        </mc:Choice>
        <mc:Fallback>
          <w:pict>
            <v:shape style="position:absolute;margin-left:512.599976pt;margin-top:790.759216pt;width:44.45pt;height:12.1pt;mso-position-horizontal-relative:page;mso-position-vertical-relative:page;z-index:-16007168" type="#_x0000_t202" id="docshape7" filled="false" stroked="false">
              <v:textbox inset="0,0,0,0">
                <w:txbxContent>
                  <w:p>
                    <w:pPr>
                      <w:pStyle w:val="BodyText"/>
                      <w:spacing w:line="218" w:lineRule="exact"/>
                      <w:ind w:left="20"/>
                      <w:jc w:val="left"/>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104</w:t>
                    </w:r>
                    <w:r>
                      <w:rPr>
                        <w:rFonts w:ascii="Cambria"/>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10848">
              <wp:simplePos x="0" y="0"/>
              <wp:positionH relativeFrom="page">
                <wp:posOffset>521208</wp:posOffset>
              </wp:positionH>
              <wp:positionV relativeFrom="page">
                <wp:posOffset>9963911</wp:posOffset>
              </wp:positionV>
              <wp:extent cx="6517005" cy="55244"/>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6517005" cy="55244"/>
                      </a:xfrm>
                      <a:custGeom>
                        <a:avLst/>
                        <a:gdLst/>
                        <a:ahLst/>
                        <a:cxnLst/>
                        <a:rect l="l" t="t" r="r" b="b"/>
                        <a:pathLst>
                          <a:path w="6517005" h="55244">
                            <a:moveTo>
                              <a:pt x="6516624" y="45720"/>
                            </a:moveTo>
                            <a:lnTo>
                              <a:pt x="0" y="45720"/>
                            </a:lnTo>
                            <a:lnTo>
                              <a:pt x="0" y="54864"/>
                            </a:lnTo>
                            <a:lnTo>
                              <a:pt x="6516624" y="54864"/>
                            </a:lnTo>
                            <a:lnTo>
                              <a:pt x="6516624" y="45720"/>
                            </a:lnTo>
                            <a:close/>
                          </a:path>
                          <a:path w="6517005" h="55244">
                            <a:moveTo>
                              <a:pt x="6516624" y="0"/>
                            </a:moveTo>
                            <a:lnTo>
                              <a:pt x="0" y="0"/>
                            </a:lnTo>
                            <a:lnTo>
                              <a:pt x="0" y="36576"/>
                            </a:lnTo>
                            <a:lnTo>
                              <a:pt x="6516624" y="36576"/>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784.559998pt;width:513.15pt;height:4.350pt;mso-position-horizontal-relative:page;mso-position-vertical-relative:page;z-index:-16005632" id="docshape12" coordorigin="821,15691" coordsize="10263,87" path="m11083,15763l821,15763,821,15778,11083,15778,11083,15763xm11083,15691l821,15691,821,15749,11083,15749,11083,15691xe" filled="true" fillcolor="#622423" stroked="false">
              <v:path arrowok="t"/>
              <v:fill type="solid"/>
              <w10:wrap type="none"/>
            </v:shape>
          </w:pict>
        </mc:Fallback>
      </mc:AlternateContent>
    </w:r>
    <w:r>
      <w:rPr/>
      <mc:AlternateContent>
        <mc:Choice Requires="wps">
          <w:drawing>
            <wp:anchor distT="0" distB="0" distL="0" distR="0" allowOverlap="1" layoutInCell="1" locked="0" behindDoc="1" simplePos="0" relativeHeight="487311360">
              <wp:simplePos x="0" y="0"/>
              <wp:positionH relativeFrom="page">
                <wp:posOffset>6510019</wp:posOffset>
              </wp:positionH>
              <wp:positionV relativeFrom="page">
                <wp:posOffset>10042642</wp:posOffset>
              </wp:positionV>
              <wp:extent cx="564515" cy="15367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564515" cy="153670"/>
                      </a:xfrm>
                      <a:prstGeom prst="rect">
                        <a:avLst/>
                      </a:prstGeom>
                    </wps:spPr>
                    <wps:txbx>
                      <w:txbxContent>
                        <w:p>
                          <w:pPr>
                            <w:pStyle w:val="BodyText"/>
                            <w:spacing w:line="218" w:lineRule="exact"/>
                            <w:ind w:left="20"/>
                            <w:jc w:val="left"/>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105</w:t>
                          </w:r>
                          <w:r>
                            <w:rPr>
                              <w:rFonts w:ascii="Cambria"/>
                              <w:spacing w:val="-5"/>
                            </w:rPr>
                            <w:fldChar w:fldCharType="end"/>
                          </w:r>
                        </w:p>
                      </w:txbxContent>
                    </wps:txbx>
                    <wps:bodyPr wrap="square" lIns="0" tIns="0" rIns="0" bIns="0" rtlCol="0">
                      <a:noAutofit/>
                    </wps:bodyPr>
                  </wps:wsp>
                </a:graphicData>
              </a:graphic>
            </wp:anchor>
          </w:drawing>
        </mc:Choice>
        <mc:Fallback>
          <w:pict>
            <v:shape style="position:absolute;margin-left:512.599976pt;margin-top:790.759216pt;width:44.45pt;height:12.1pt;mso-position-horizontal-relative:page;mso-position-vertical-relative:page;z-index:-16005120" type="#_x0000_t202" id="docshape13" filled="false" stroked="false">
              <v:textbox inset="0,0,0,0">
                <w:txbxContent>
                  <w:p>
                    <w:pPr>
                      <w:pStyle w:val="BodyText"/>
                      <w:spacing w:line="218" w:lineRule="exact"/>
                      <w:ind w:left="20"/>
                      <w:jc w:val="left"/>
                      <w:rPr>
                        <w:rFonts w:ascii="Cambria"/>
                      </w:rPr>
                    </w:pPr>
                    <w:r>
                      <w:rPr>
                        <w:rFonts w:ascii="Cambria"/>
                      </w:rPr>
                      <w:t>Page</w:t>
                    </w:r>
                    <w:r>
                      <w:rPr>
                        <w:rFonts w:ascii="Cambria"/>
                        <w:spacing w:val="-1"/>
                      </w:rPr>
                      <w:t> </w:t>
                    </w: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105</w:t>
                    </w:r>
                    <w:r>
                      <w:rPr>
                        <w:rFonts w:ascii="Cambria"/>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06240">
              <wp:simplePos x="0" y="0"/>
              <wp:positionH relativeFrom="page">
                <wp:posOffset>521208</wp:posOffset>
              </wp:positionH>
              <wp:positionV relativeFrom="page">
                <wp:posOffset>579119</wp:posOffset>
              </wp:positionV>
              <wp:extent cx="6517005" cy="55244"/>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45.59996pt;width:513.15pt;height:4.350pt;mso-position-horizontal-relative:page;mso-position-vertical-relative:page;z-index:-16010240" id="docshape1" coordorigin="821,912" coordsize="10263,87" path="m11083,941l821,941,821,998,11083,998,11083,941xm11083,912l821,912,821,926,11083,926,11083,912xe" filled="true" fillcolor="#622423" stroked="false">
              <v:path arrowok="t"/>
              <v:fill type="solid"/>
              <w10:wrap type="none"/>
            </v:shape>
          </w:pict>
        </mc:Fallback>
      </mc:AlternateContent>
    </w:r>
    <w:r>
      <w:rPr/>
      <mc:AlternateContent>
        <mc:Choice Requires="wps">
          <w:drawing>
            <wp:anchor distT="0" distB="0" distL="0" distR="0" allowOverlap="1" layoutInCell="1" locked="0" behindDoc="1" simplePos="0" relativeHeight="487306752">
              <wp:simplePos x="0" y="0"/>
              <wp:positionH relativeFrom="page">
                <wp:posOffset>2596388</wp:posOffset>
              </wp:positionH>
              <wp:positionV relativeFrom="page">
                <wp:posOffset>374017</wp:posOffset>
              </wp:positionV>
              <wp:extent cx="2365375" cy="1778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365375" cy="177800"/>
                      </a:xfrm>
                      <a:prstGeom prst="rect">
                        <a:avLst/>
                      </a:prstGeom>
                    </wps:spPr>
                    <wps:txbx>
                      <w:txbxContent>
                        <w:p>
                          <w:pPr>
                            <w:spacing w:line="256" w:lineRule="exact" w:before="0"/>
                            <w:ind w:left="20" w:right="0" w:firstLine="0"/>
                            <w:jc w:val="left"/>
                            <w:rPr>
                              <w:rFonts w:ascii="Cambria"/>
                              <w:i/>
                              <w:sz w:val="24"/>
                            </w:rPr>
                          </w:pPr>
                          <w:r>
                            <w:rPr>
                              <w:rFonts w:ascii="Cambria"/>
                              <w:i/>
                              <w:sz w:val="24"/>
                            </w:rPr>
                            <w:t>Waghmare</w:t>
                          </w:r>
                          <w:r>
                            <w:rPr>
                              <w:rFonts w:ascii="Cambria"/>
                              <w:i/>
                              <w:spacing w:val="-4"/>
                              <w:sz w:val="24"/>
                            </w:rPr>
                            <w:t> </w:t>
                          </w:r>
                          <w:r>
                            <w:rPr>
                              <w:rFonts w:ascii="Cambria"/>
                              <w:i/>
                              <w:sz w:val="24"/>
                            </w:rPr>
                            <w:t>A.</w:t>
                          </w:r>
                          <w:r>
                            <w:rPr>
                              <w:rFonts w:ascii="Cambria"/>
                              <w:i/>
                              <w:spacing w:val="-2"/>
                              <w:sz w:val="24"/>
                            </w:rPr>
                            <w:t> </w:t>
                          </w:r>
                          <w:r>
                            <w:rPr>
                              <w:rFonts w:ascii="Cambria"/>
                              <w:i/>
                              <w:sz w:val="24"/>
                            </w:rPr>
                            <w:t>S</w:t>
                          </w:r>
                          <w:r>
                            <w:rPr>
                              <w:rFonts w:ascii="Cambria"/>
                              <w:i/>
                              <w:spacing w:val="-3"/>
                              <w:sz w:val="24"/>
                            </w:rPr>
                            <w:t> </w:t>
                          </w:r>
                          <w:r>
                            <w:rPr>
                              <w:rFonts w:ascii="Cambria"/>
                              <w:i/>
                              <w:sz w:val="24"/>
                            </w:rPr>
                            <w:t>et</w:t>
                          </w:r>
                          <w:r>
                            <w:rPr>
                              <w:rFonts w:ascii="Cambria"/>
                              <w:i/>
                              <w:spacing w:val="-4"/>
                              <w:sz w:val="24"/>
                            </w:rPr>
                            <w:t> </w:t>
                          </w:r>
                          <w:r>
                            <w:rPr>
                              <w:rFonts w:ascii="Cambria"/>
                              <w:i/>
                              <w:sz w:val="24"/>
                            </w:rPr>
                            <w:t>al.</w:t>
                          </w:r>
                          <w:r>
                            <w:rPr>
                              <w:rFonts w:ascii="Cambria"/>
                              <w:i/>
                              <w:spacing w:val="-2"/>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4"/>
                              <w:sz w:val="24"/>
                            </w:rPr>
                            <w:t> </w:t>
                          </w:r>
                          <w:r>
                            <w:rPr>
                              <w:rFonts w:ascii="Cambria"/>
                              <w:i/>
                              <w:spacing w:val="-5"/>
                              <w:sz w:val="24"/>
                            </w:rPr>
                            <w:t>(4)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4.440002pt;margin-top:29.450159pt;width:186.25pt;height:14pt;mso-position-horizontal-relative:page;mso-position-vertical-relative:page;z-index:-16009728" type="#_x0000_t202" id="docshape2" filled="false" stroked="false">
              <v:textbox inset="0,0,0,0">
                <w:txbxContent>
                  <w:p>
                    <w:pPr>
                      <w:spacing w:line="256" w:lineRule="exact" w:before="0"/>
                      <w:ind w:left="20" w:right="0" w:firstLine="0"/>
                      <w:jc w:val="left"/>
                      <w:rPr>
                        <w:rFonts w:ascii="Cambria"/>
                        <w:i/>
                        <w:sz w:val="24"/>
                      </w:rPr>
                    </w:pPr>
                    <w:r>
                      <w:rPr>
                        <w:rFonts w:ascii="Cambria"/>
                        <w:i/>
                        <w:sz w:val="24"/>
                      </w:rPr>
                      <w:t>Waghmare</w:t>
                    </w:r>
                    <w:r>
                      <w:rPr>
                        <w:rFonts w:ascii="Cambria"/>
                        <w:i/>
                        <w:spacing w:val="-4"/>
                        <w:sz w:val="24"/>
                      </w:rPr>
                      <w:t> </w:t>
                    </w:r>
                    <w:r>
                      <w:rPr>
                        <w:rFonts w:ascii="Cambria"/>
                        <w:i/>
                        <w:sz w:val="24"/>
                      </w:rPr>
                      <w:t>A.</w:t>
                    </w:r>
                    <w:r>
                      <w:rPr>
                        <w:rFonts w:ascii="Cambria"/>
                        <w:i/>
                        <w:spacing w:val="-2"/>
                        <w:sz w:val="24"/>
                      </w:rPr>
                      <w:t> </w:t>
                    </w:r>
                    <w:r>
                      <w:rPr>
                        <w:rFonts w:ascii="Cambria"/>
                        <w:i/>
                        <w:sz w:val="24"/>
                      </w:rPr>
                      <w:t>S</w:t>
                    </w:r>
                    <w:r>
                      <w:rPr>
                        <w:rFonts w:ascii="Cambria"/>
                        <w:i/>
                        <w:spacing w:val="-3"/>
                        <w:sz w:val="24"/>
                      </w:rPr>
                      <w:t> </w:t>
                    </w:r>
                    <w:r>
                      <w:rPr>
                        <w:rFonts w:ascii="Cambria"/>
                        <w:i/>
                        <w:sz w:val="24"/>
                      </w:rPr>
                      <w:t>et</w:t>
                    </w:r>
                    <w:r>
                      <w:rPr>
                        <w:rFonts w:ascii="Cambria"/>
                        <w:i/>
                        <w:spacing w:val="-4"/>
                        <w:sz w:val="24"/>
                      </w:rPr>
                      <w:t> </w:t>
                    </w:r>
                    <w:r>
                      <w:rPr>
                        <w:rFonts w:ascii="Cambria"/>
                        <w:i/>
                        <w:sz w:val="24"/>
                      </w:rPr>
                      <w:t>al.</w:t>
                    </w:r>
                    <w:r>
                      <w:rPr>
                        <w:rFonts w:ascii="Cambria"/>
                        <w:i/>
                        <w:spacing w:val="-2"/>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4"/>
                        <w:sz w:val="24"/>
                      </w:rPr>
                      <w:t> </w:t>
                    </w:r>
                    <w:r>
                      <w:rPr>
                        <w:rFonts w:ascii="Cambria"/>
                        <w:i/>
                        <w:spacing w:val="-5"/>
                        <w:sz w:val="24"/>
                      </w:rPr>
                      <w:t>(4)</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08288">
              <wp:simplePos x="0" y="0"/>
              <wp:positionH relativeFrom="page">
                <wp:posOffset>521208</wp:posOffset>
              </wp:positionH>
              <wp:positionV relativeFrom="page">
                <wp:posOffset>579119</wp:posOffset>
              </wp:positionV>
              <wp:extent cx="6517005" cy="55244"/>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45.59996pt;width:513.15pt;height:4.350pt;mso-position-horizontal-relative:page;mso-position-vertical-relative:page;z-index:-16008192" id="docshape5" coordorigin="821,912" coordsize="10263,87" path="m11083,941l821,941,821,998,11083,998,11083,941xm11083,912l821,912,821,926,11083,926,11083,912xe" filled="true" fillcolor="#622423" stroked="false">
              <v:path arrowok="t"/>
              <v:fill type="solid"/>
              <w10:wrap type="none"/>
            </v:shape>
          </w:pict>
        </mc:Fallback>
      </mc:AlternateContent>
    </w:r>
    <w:r>
      <w:rPr/>
      <mc:AlternateContent>
        <mc:Choice Requires="wps">
          <w:drawing>
            <wp:anchor distT="0" distB="0" distL="0" distR="0" allowOverlap="1" layoutInCell="1" locked="0" behindDoc="1" simplePos="0" relativeHeight="487308800">
              <wp:simplePos x="0" y="0"/>
              <wp:positionH relativeFrom="page">
                <wp:posOffset>2596388</wp:posOffset>
              </wp:positionH>
              <wp:positionV relativeFrom="page">
                <wp:posOffset>374017</wp:posOffset>
              </wp:positionV>
              <wp:extent cx="2365375" cy="1778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365375" cy="177800"/>
                      </a:xfrm>
                      <a:prstGeom prst="rect">
                        <a:avLst/>
                      </a:prstGeom>
                    </wps:spPr>
                    <wps:txbx>
                      <w:txbxContent>
                        <w:p>
                          <w:pPr>
                            <w:spacing w:line="256" w:lineRule="exact" w:before="0"/>
                            <w:ind w:left="20" w:right="0" w:firstLine="0"/>
                            <w:jc w:val="left"/>
                            <w:rPr>
                              <w:rFonts w:ascii="Cambria"/>
                              <w:i/>
                              <w:sz w:val="24"/>
                            </w:rPr>
                          </w:pPr>
                          <w:r>
                            <w:rPr>
                              <w:rFonts w:ascii="Cambria"/>
                              <w:i/>
                              <w:sz w:val="24"/>
                            </w:rPr>
                            <w:t>Waghmare</w:t>
                          </w:r>
                          <w:r>
                            <w:rPr>
                              <w:rFonts w:ascii="Cambria"/>
                              <w:i/>
                              <w:spacing w:val="-4"/>
                              <w:sz w:val="24"/>
                            </w:rPr>
                            <w:t> </w:t>
                          </w:r>
                          <w:r>
                            <w:rPr>
                              <w:rFonts w:ascii="Cambria"/>
                              <w:i/>
                              <w:sz w:val="24"/>
                            </w:rPr>
                            <w:t>A.</w:t>
                          </w:r>
                          <w:r>
                            <w:rPr>
                              <w:rFonts w:ascii="Cambria"/>
                              <w:i/>
                              <w:spacing w:val="-2"/>
                              <w:sz w:val="24"/>
                            </w:rPr>
                            <w:t> </w:t>
                          </w:r>
                          <w:r>
                            <w:rPr>
                              <w:rFonts w:ascii="Cambria"/>
                              <w:i/>
                              <w:sz w:val="24"/>
                            </w:rPr>
                            <w:t>S</w:t>
                          </w:r>
                          <w:r>
                            <w:rPr>
                              <w:rFonts w:ascii="Cambria"/>
                              <w:i/>
                              <w:spacing w:val="-3"/>
                              <w:sz w:val="24"/>
                            </w:rPr>
                            <w:t> </w:t>
                          </w:r>
                          <w:r>
                            <w:rPr>
                              <w:rFonts w:ascii="Cambria"/>
                              <w:i/>
                              <w:sz w:val="24"/>
                            </w:rPr>
                            <w:t>et</w:t>
                          </w:r>
                          <w:r>
                            <w:rPr>
                              <w:rFonts w:ascii="Cambria"/>
                              <w:i/>
                              <w:spacing w:val="-4"/>
                              <w:sz w:val="24"/>
                            </w:rPr>
                            <w:t> </w:t>
                          </w:r>
                          <w:r>
                            <w:rPr>
                              <w:rFonts w:ascii="Cambria"/>
                              <w:i/>
                              <w:sz w:val="24"/>
                            </w:rPr>
                            <w:t>al.</w:t>
                          </w:r>
                          <w:r>
                            <w:rPr>
                              <w:rFonts w:ascii="Cambria"/>
                              <w:i/>
                              <w:spacing w:val="-2"/>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4"/>
                              <w:sz w:val="24"/>
                            </w:rPr>
                            <w:t> </w:t>
                          </w:r>
                          <w:r>
                            <w:rPr>
                              <w:rFonts w:ascii="Cambria"/>
                              <w:i/>
                              <w:spacing w:val="-5"/>
                              <w:sz w:val="24"/>
                            </w:rPr>
                            <w:t>(4)</w:t>
                          </w:r>
                        </w:p>
                      </w:txbxContent>
                    </wps:txbx>
                    <wps:bodyPr wrap="square" lIns="0" tIns="0" rIns="0" bIns="0" rtlCol="0">
                      <a:noAutofit/>
                    </wps:bodyPr>
                  </wps:wsp>
                </a:graphicData>
              </a:graphic>
            </wp:anchor>
          </w:drawing>
        </mc:Choice>
        <mc:Fallback>
          <w:pict>
            <v:shape style="position:absolute;margin-left:204.440002pt;margin-top:29.450159pt;width:186.25pt;height:14pt;mso-position-horizontal-relative:page;mso-position-vertical-relative:page;z-index:-16007680" type="#_x0000_t202" id="docshape6" filled="false" stroked="false">
              <v:textbox inset="0,0,0,0">
                <w:txbxContent>
                  <w:p>
                    <w:pPr>
                      <w:spacing w:line="256" w:lineRule="exact" w:before="0"/>
                      <w:ind w:left="20" w:right="0" w:firstLine="0"/>
                      <w:jc w:val="left"/>
                      <w:rPr>
                        <w:rFonts w:ascii="Cambria"/>
                        <w:i/>
                        <w:sz w:val="24"/>
                      </w:rPr>
                    </w:pPr>
                    <w:r>
                      <w:rPr>
                        <w:rFonts w:ascii="Cambria"/>
                        <w:i/>
                        <w:sz w:val="24"/>
                      </w:rPr>
                      <w:t>Waghmare</w:t>
                    </w:r>
                    <w:r>
                      <w:rPr>
                        <w:rFonts w:ascii="Cambria"/>
                        <w:i/>
                        <w:spacing w:val="-4"/>
                        <w:sz w:val="24"/>
                      </w:rPr>
                      <w:t> </w:t>
                    </w:r>
                    <w:r>
                      <w:rPr>
                        <w:rFonts w:ascii="Cambria"/>
                        <w:i/>
                        <w:sz w:val="24"/>
                      </w:rPr>
                      <w:t>A.</w:t>
                    </w:r>
                    <w:r>
                      <w:rPr>
                        <w:rFonts w:ascii="Cambria"/>
                        <w:i/>
                        <w:spacing w:val="-2"/>
                        <w:sz w:val="24"/>
                      </w:rPr>
                      <w:t> </w:t>
                    </w:r>
                    <w:r>
                      <w:rPr>
                        <w:rFonts w:ascii="Cambria"/>
                        <w:i/>
                        <w:sz w:val="24"/>
                      </w:rPr>
                      <w:t>S</w:t>
                    </w:r>
                    <w:r>
                      <w:rPr>
                        <w:rFonts w:ascii="Cambria"/>
                        <w:i/>
                        <w:spacing w:val="-3"/>
                        <w:sz w:val="24"/>
                      </w:rPr>
                      <w:t> </w:t>
                    </w:r>
                    <w:r>
                      <w:rPr>
                        <w:rFonts w:ascii="Cambria"/>
                        <w:i/>
                        <w:sz w:val="24"/>
                      </w:rPr>
                      <w:t>et</w:t>
                    </w:r>
                    <w:r>
                      <w:rPr>
                        <w:rFonts w:ascii="Cambria"/>
                        <w:i/>
                        <w:spacing w:val="-4"/>
                        <w:sz w:val="24"/>
                      </w:rPr>
                      <w:t> </w:t>
                    </w:r>
                    <w:r>
                      <w:rPr>
                        <w:rFonts w:ascii="Cambria"/>
                        <w:i/>
                        <w:sz w:val="24"/>
                      </w:rPr>
                      <w:t>al.</w:t>
                    </w:r>
                    <w:r>
                      <w:rPr>
                        <w:rFonts w:ascii="Cambria"/>
                        <w:i/>
                        <w:spacing w:val="-2"/>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4"/>
                        <w:sz w:val="24"/>
                      </w:rPr>
                      <w:t> </w:t>
                    </w:r>
                    <w:r>
                      <w:rPr>
                        <w:rFonts w:ascii="Cambria"/>
                        <w:i/>
                        <w:spacing w:val="-5"/>
                        <w:sz w:val="24"/>
                      </w:rPr>
                      <w:t>(4)</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09824">
              <wp:simplePos x="0" y="0"/>
              <wp:positionH relativeFrom="page">
                <wp:posOffset>521208</wp:posOffset>
              </wp:positionH>
              <wp:positionV relativeFrom="page">
                <wp:posOffset>579119</wp:posOffset>
              </wp:positionV>
              <wp:extent cx="6517005" cy="55244"/>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6517005" cy="55244"/>
                      </a:xfrm>
                      <a:custGeom>
                        <a:avLst/>
                        <a:gdLst/>
                        <a:ahLst/>
                        <a:cxnLst/>
                        <a:rect l="l" t="t" r="r" b="b"/>
                        <a:pathLst>
                          <a:path w="6517005" h="55244">
                            <a:moveTo>
                              <a:pt x="6516624" y="18288"/>
                            </a:moveTo>
                            <a:lnTo>
                              <a:pt x="0" y="18288"/>
                            </a:lnTo>
                            <a:lnTo>
                              <a:pt x="0" y="54864"/>
                            </a:lnTo>
                            <a:lnTo>
                              <a:pt x="6516624" y="54864"/>
                            </a:lnTo>
                            <a:lnTo>
                              <a:pt x="6516624" y="18288"/>
                            </a:lnTo>
                            <a:close/>
                          </a:path>
                          <a:path w="6517005" h="55244">
                            <a:moveTo>
                              <a:pt x="6516624" y="0"/>
                            </a:moveTo>
                            <a:lnTo>
                              <a:pt x="0" y="0"/>
                            </a:lnTo>
                            <a:lnTo>
                              <a:pt x="0" y="9144"/>
                            </a:lnTo>
                            <a:lnTo>
                              <a:pt x="6516624" y="9144"/>
                            </a:lnTo>
                            <a:lnTo>
                              <a:pt x="6516624"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41.040001pt;margin-top:45.59996pt;width:513.15pt;height:4.350pt;mso-position-horizontal-relative:page;mso-position-vertical-relative:page;z-index:-16006656" id="docshape10" coordorigin="821,912" coordsize="10263,87" path="m11083,941l821,941,821,998,11083,998,11083,941xm11083,912l821,912,821,926,11083,926,11083,912xe" filled="true" fillcolor="#622423" stroked="false">
              <v:path arrowok="t"/>
              <v:fill type="solid"/>
              <w10:wrap type="none"/>
            </v:shape>
          </w:pict>
        </mc:Fallback>
      </mc:AlternateContent>
    </w:r>
    <w:r>
      <w:rPr/>
      <mc:AlternateContent>
        <mc:Choice Requires="wps">
          <w:drawing>
            <wp:anchor distT="0" distB="0" distL="0" distR="0" allowOverlap="1" layoutInCell="1" locked="0" behindDoc="1" simplePos="0" relativeHeight="487310336">
              <wp:simplePos x="0" y="0"/>
              <wp:positionH relativeFrom="page">
                <wp:posOffset>2596388</wp:posOffset>
              </wp:positionH>
              <wp:positionV relativeFrom="page">
                <wp:posOffset>374017</wp:posOffset>
              </wp:positionV>
              <wp:extent cx="2365375" cy="1778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365375" cy="177800"/>
                      </a:xfrm>
                      <a:prstGeom prst="rect">
                        <a:avLst/>
                      </a:prstGeom>
                    </wps:spPr>
                    <wps:txbx>
                      <w:txbxContent>
                        <w:p>
                          <w:pPr>
                            <w:spacing w:line="256" w:lineRule="exact" w:before="0"/>
                            <w:ind w:left="20" w:right="0" w:firstLine="0"/>
                            <w:jc w:val="left"/>
                            <w:rPr>
                              <w:rFonts w:ascii="Cambria"/>
                              <w:i/>
                              <w:sz w:val="24"/>
                            </w:rPr>
                          </w:pPr>
                          <w:r>
                            <w:rPr>
                              <w:rFonts w:ascii="Cambria"/>
                              <w:i/>
                              <w:sz w:val="24"/>
                            </w:rPr>
                            <w:t>Waghmare</w:t>
                          </w:r>
                          <w:r>
                            <w:rPr>
                              <w:rFonts w:ascii="Cambria"/>
                              <w:i/>
                              <w:spacing w:val="-4"/>
                              <w:sz w:val="24"/>
                            </w:rPr>
                            <w:t> </w:t>
                          </w:r>
                          <w:r>
                            <w:rPr>
                              <w:rFonts w:ascii="Cambria"/>
                              <w:i/>
                              <w:sz w:val="24"/>
                            </w:rPr>
                            <w:t>A.</w:t>
                          </w:r>
                          <w:r>
                            <w:rPr>
                              <w:rFonts w:ascii="Cambria"/>
                              <w:i/>
                              <w:spacing w:val="-2"/>
                              <w:sz w:val="24"/>
                            </w:rPr>
                            <w:t> </w:t>
                          </w:r>
                          <w:r>
                            <w:rPr>
                              <w:rFonts w:ascii="Cambria"/>
                              <w:i/>
                              <w:sz w:val="24"/>
                            </w:rPr>
                            <w:t>S</w:t>
                          </w:r>
                          <w:r>
                            <w:rPr>
                              <w:rFonts w:ascii="Cambria"/>
                              <w:i/>
                              <w:spacing w:val="-3"/>
                              <w:sz w:val="24"/>
                            </w:rPr>
                            <w:t> </w:t>
                          </w:r>
                          <w:r>
                            <w:rPr>
                              <w:rFonts w:ascii="Cambria"/>
                              <w:i/>
                              <w:sz w:val="24"/>
                            </w:rPr>
                            <w:t>et</w:t>
                          </w:r>
                          <w:r>
                            <w:rPr>
                              <w:rFonts w:ascii="Cambria"/>
                              <w:i/>
                              <w:spacing w:val="-4"/>
                              <w:sz w:val="24"/>
                            </w:rPr>
                            <w:t> </w:t>
                          </w:r>
                          <w:r>
                            <w:rPr>
                              <w:rFonts w:ascii="Cambria"/>
                              <w:i/>
                              <w:sz w:val="24"/>
                            </w:rPr>
                            <w:t>al.</w:t>
                          </w:r>
                          <w:r>
                            <w:rPr>
                              <w:rFonts w:ascii="Cambria"/>
                              <w:i/>
                              <w:spacing w:val="-2"/>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4"/>
                              <w:sz w:val="24"/>
                            </w:rPr>
                            <w:t> </w:t>
                          </w:r>
                          <w:r>
                            <w:rPr>
                              <w:rFonts w:ascii="Cambria"/>
                              <w:i/>
                              <w:spacing w:val="-5"/>
                              <w:sz w:val="24"/>
                            </w:rPr>
                            <w:t>(4)</w:t>
                          </w:r>
                        </w:p>
                      </w:txbxContent>
                    </wps:txbx>
                    <wps:bodyPr wrap="square" lIns="0" tIns="0" rIns="0" bIns="0" rtlCol="0">
                      <a:noAutofit/>
                    </wps:bodyPr>
                  </wps:wsp>
                </a:graphicData>
              </a:graphic>
            </wp:anchor>
          </w:drawing>
        </mc:Choice>
        <mc:Fallback>
          <w:pict>
            <v:shape style="position:absolute;margin-left:204.440002pt;margin-top:29.450159pt;width:186.25pt;height:14pt;mso-position-horizontal-relative:page;mso-position-vertical-relative:page;z-index:-16006144" type="#_x0000_t202" id="docshape11" filled="false" stroked="false">
              <v:textbox inset="0,0,0,0">
                <w:txbxContent>
                  <w:p>
                    <w:pPr>
                      <w:spacing w:line="256" w:lineRule="exact" w:before="0"/>
                      <w:ind w:left="20" w:right="0" w:firstLine="0"/>
                      <w:jc w:val="left"/>
                      <w:rPr>
                        <w:rFonts w:ascii="Cambria"/>
                        <w:i/>
                        <w:sz w:val="24"/>
                      </w:rPr>
                    </w:pPr>
                    <w:r>
                      <w:rPr>
                        <w:rFonts w:ascii="Cambria"/>
                        <w:i/>
                        <w:sz w:val="24"/>
                      </w:rPr>
                      <w:t>Waghmare</w:t>
                    </w:r>
                    <w:r>
                      <w:rPr>
                        <w:rFonts w:ascii="Cambria"/>
                        <w:i/>
                        <w:spacing w:val="-4"/>
                        <w:sz w:val="24"/>
                      </w:rPr>
                      <w:t> </w:t>
                    </w:r>
                    <w:r>
                      <w:rPr>
                        <w:rFonts w:ascii="Cambria"/>
                        <w:i/>
                        <w:sz w:val="24"/>
                      </w:rPr>
                      <w:t>A.</w:t>
                    </w:r>
                    <w:r>
                      <w:rPr>
                        <w:rFonts w:ascii="Cambria"/>
                        <w:i/>
                        <w:spacing w:val="-2"/>
                        <w:sz w:val="24"/>
                      </w:rPr>
                      <w:t> </w:t>
                    </w:r>
                    <w:r>
                      <w:rPr>
                        <w:rFonts w:ascii="Cambria"/>
                        <w:i/>
                        <w:sz w:val="24"/>
                      </w:rPr>
                      <w:t>S</w:t>
                    </w:r>
                    <w:r>
                      <w:rPr>
                        <w:rFonts w:ascii="Cambria"/>
                        <w:i/>
                        <w:spacing w:val="-3"/>
                        <w:sz w:val="24"/>
                      </w:rPr>
                      <w:t> </w:t>
                    </w:r>
                    <w:r>
                      <w:rPr>
                        <w:rFonts w:ascii="Cambria"/>
                        <w:i/>
                        <w:sz w:val="24"/>
                      </w:rPr>
                      <w:t>et</w:t>
                    </w:r>
                    <w:r>
                      <w:rPr>
                        <w:rFonts w:ascii="Cambria"/>
                        <w:i/>
                        <w:spacing w:val="-4"/>
                        <w:sz w:val="24"/>
                      </w:rPr>
                      <w:t> </w:t>
                    </w:r>
                    <w:r>
                      <w:rPr>
                        <w:rFonts w:ascii="Cambria"/>
                        <w:i/>
                        <w:sz w:val="24"/>
                      </w:rPr>
                      <w:t>al.</w:t>
                    </w:r>
                    <w:r>
                      <w:rPr>
                        <w:rFonts w:ascii="Cambria"/>
                        <w:i/>
                        <w:spacing w:val="-2"/>
                        <w:sz w:val="24"/>
                      </w:rPr>
                      <w:t> </w:t>
                    </w:r>
                    <w:r>
                      <w:rPr>
                        <w:rFonts w:ascii="Cambria"/>
                        <w:i/>
                        <w:sz w:val="24"/>
                      </w:rPr>
                      <w:t>IRJP</w:t>
                    </w:r>
                    <w:r>
                      <w:rPr>
                        <w:rFonts w:ascii="Cambria"/>
                        <w:i/>
                        <w:spacing w:val="-1"/>
                        <w:sz w:val="24"/>
                      </w:rPr>
                      <w:t> </w:t>
                    </w:r>
                    <w:r>
                      <w:rPr>
                        <w:rFonts w:ascii="Cambria"/>
                        <w:i/>
                        <w:sz w:val="24"/>
                      </w:rPr>
                      <w:t>2012,</w:t>
                    </w:r>
                    <w:r>
                      <w:rPr>
                        <w:rFonts w:ascii="Cambria"/>
                        <w:i/>
                        <w:spacing w:val="2"/>
                        <w:sz w:val="24"/>
                      </w:rPr>
                      <w:t> </w:t>
                    </w:r>
                    <w:r>
                      <w:rPr>
                        <w:rFonts w:ascii="Cambria"/>
                        <w:i/>
                        <w:sz w:val="24"/>
                      </w:rPr>
                      <w:t>3</w:t>
                    </w:r>
                    <w:r>
                      <w:rPr>
                        <w:rFonts w:ascii="Cambria"/>
                        <w:i/>
                        <w:spacing w:val="-4"/>
                        <w:sz w:val="24"/>
                      </w:rPr>
                      <w:t> </w:t>
                    </w:r>
                    <w:r>
                      <w:rPr>
                        <w:rFonts w:ascii="Cambria"/>
                        <w:i/>
                        <w:spacing w:val="-5"/>
                        <w:sz w:val="24"/>
                      </w:rPr>
                      <w:t>(4)</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830" w:hanging="360"/>
        <w:jc w:val="lef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1"/>
      <w:numFmt w:val="lowerRoman"/>
      <w:lvlText w:val="%2."/>
      <w:lvlJc w:val="left"/>
      <w:pPr>
        <w:ind w:left="1550" w:hanging="447"/>
        <w:jc w:val="right"/>
      </w:pPr>
      <w:rPr>
        <w:rFonts w:hint="default" w:ascii="Times New Roman" w:hAnsi="Times New Roman" w:eastAsia="Times New Roman" w:cs="Times New Roman"/>
        <w:b w:val="0"/>
        <w:bCs w:val="0"/>
        <w:i w:val="0"/>
        <w:iCs w:val="0"/>
        <w:spacing w:val="-1"/>
        <w:w w:val="99"/>
        <w:sz w:val="16"/>
        <w:szCs w:val="16"/>
        <w:lang w:val="en-US" w:eastAsia="en-US" w:bidi="ar-SA"/>
      </w:rPr>
    </w:lvl>
    <w:lvl w:ilvl="2">
      <w:start w:val="0"/>
      <w:numFmt w:val="bullet"/>
      <w:lvlText w:val="•"/>
      <w:lvlJc w:val="left"/>
      <w:pPr>
        <w:ind w:left="1803" w:hanging="447"/>
      </w:pPr>
      <w:rPr>
        <w:rFonts w:hint="default"/>
        <w:lang w:val="en-US" w:eastAsia="en-US" w:bidi="ar-SA"/>
      </w:rPr>
    </w:lvl>
    <w:lvl w:ilvl="3">
      <w:start w:val="0"/>
      <w:numFmt w:val="bullet"/>
      <w:lvlText w:val="•"/>
      <w:lvlJc w:val="left"/>
      <w:pPr>
        <w:ind w:left="2046" w:hanging="447"/>
      </w:pPr>
      <w:rPr>
        <w:rFonts w:hint="default"/>
        <w:lang w:val="en-US" w:eastAsia="en-US" w:bidi="ar-SA"/>
      </w:rPr>
    </w:lvl>
    <w:lvl w:ilvl="4">
      <w:start w:val="0"/>
      <w:numFmt w:val="bullet"/>
      <w:lvlText w:val="•"/>
      <w:lvlJc w:val="left"/>
      <w:pPr>
        <w:ind w:left="2289" w:hanging="447"/>
      </w:pPr>
      <w:rPr>
        <w:rFonts w:hint="default"/>
        <w:lang w:val="en-US" w:eastAsia="en-US" w:bidi="ar-SA"/>
      </w:rPr>
    </w:lvl>
    <w:lvl w:ilvl="5">
      <w:start w:val="0"/>
      <w:numFmt w:val="bullet"/>
      <w:lvlText w:val="•"/>
      <w:lvlJc w:val="left"/>
      <w:pPr>
        <w:ind w:left="2532" w:hanging="447"/>
      </w:pPr>
      <w:rPr>
        <w:rFonts w:hint="default"/>
        <w:lang w:val="en-US" w:eastAsia="en-US" w:bidi="ar-SA"/>
      </w:rPr>
    </w:lvl>
    <w:lvl w:ilvl="6">
      <w:start w:val="0"/>
      <w:numFmt w:val="bullet"/>
      <w:lvlText w:val="•"/>
      <w:lvlJc w:val="left"/>
      <w:pPr>
        <w:ind w:left="2775" w:hanging="447"/>
      </w:pPr>
      <w:rPr>
        <w:rFonts w:hint="default"/>
        <w:lang w:val="en-US" w:eastAsia="en-US" w:bidi="ar-SA"/>
      </w:rPr>
    </w:lvl>
    <w:lvl w:ilvl="7">
      <w:start w:val="0"/>
      <w:numFmt w:val="bullet"/>
      <w:lvlText w:val="•"/>
      <w:lvlJc w:val="left"/>
      <w:pPr>
        <w:ind w:left="3018" w:hanging="447"/>
      </w:pPr>
      <w:rPr>
        <w:rFonts w:hint="default"/>
        <w:lang w:val="en-US" w:eastAsia="en-US" w:bidi="ar-SA"/>
      </w:rPr>
    </w:lvl>
    <w:lvl w:ilvl="8">
      <w:start w:val="0"/>
      <w:numFmt w:val="bullet"/>
      <w:lvlText w:val="•"/>
      <w:lvlJc w:val="left"/>
      <w:pPr>
        <w:ind w:left="3261" w:hanging="447"/>
      </w:pPr>
      <w:rPr>
        <w:rFonts w:hint="default"/>
        <w:lang w:val="en-US" w:eastAsia="en-US" w:bidi="ar-SA"/>
      </w:rPr>
    </w:lvl>
  </w:abstractNum>
  <w:abstractNum w:abstractNumId="5">
    <w:multiLevelType w:val="hybridMultilevel"/>
    <w:lvl w:ilvl="0">
      <w:start w:val="17"/>
      <w:numFmt w:val="decimal"/>
      <w:lvlText w:val="%1."/>
      <w:lvlJc w:val="left"/>
      <w:pPr>
        <w:ind w:left="141" w:hanging="274"/>
        <w:jc w:val="left"/>
      </w:pPr>
      <w:rPr>
        <w:rFonts w:hint="default" w:ascii="Times New Roman" w:hAnsi="Times New Roman" w:eastAsia="Times New Roman" w:cs="Times New Roman"/>
        <w:b w:val="0"/>
        <w:bCs w:val="0"/>
        <w:i w:val="0"/>
        <w:iCs w:val="0"/>
        <w:spacing w:val="0"/>
        <w:w w:val="89"/>
        <w:sz w:val="16"/>
        <w:szCs w:val="16"/>
        <w:lang w:val="en-US" w:eastAsia="en-US" w:bidi="ar-SA"/>
      </w:rPr>
    </w:lvl>
    <w:lvl w:ilvl="1">
      <w:start w:val="0"/>
      <w:numFmt w:val="bullet"/>
      <w:lvlText w:val="•"/>
      <w:lvlJc w:val="left"/>
      <w:pPr>
        <w:ind w:left="649" w:hanging="274"/>
      </w:pPr>
      <w:rPr>
        <w:rFonts w:hint="default"/>
        <w:lang w:val="en-US" w:eastAsia="en-US" w:bidi="ar-SA"/>
      </w:rPr>
    </w:lvl>
    <w:lvl w:ilvl="2">
      <w:start w:val="0"/>
      <w:numFmt w:val="bullet"/>
      <w:lvlText w:val="•"/>
      <w:lvlJc w:val="left"/>
      <w:pPr>
        <w:ind w:left="1159" w:hanging="274"/>
      </w:pPr>
      <w:rPr>
        <w:rFonts w:hint="default"/>
        <w:lang w:val="en-US" w:eastAsia="en-US" w:bidi="ar-SA"/>
      </w:rPr>
    </w:lvl>
    <w:lvl w:ilvl="3">
      <w:start w:val="0"/>
      <w:numFmt w:val="bullet"/>
      <w:lvlText w:val="•"/>
      <w:lvlJc w:val="left"/>
      <w:pPr>
        <w:ind w:left="1669" w:hanging="274"/>
      </w:pPr>
      <w:rPr>
        <w:rFonts w:hint="default"/>
        <w:lang w:val="en-US" w:eastAsia="en-US" w:bidi="ar-SA"/>
      </w:rPr>
    </w:lvl>
    <w:lvl w:ilvl="4">
      <w:start w:val="0"/>
      <w:numFmt w:val="bullet"/>
      <w:lvlText w:val="•"/>
      <w:lvlJc w:val="left"/>
      <w:pPr>
        <w:ind w:left="2179" w:hanging="274"/>
      </w:pPr>
      <w:rPr>
        <w:rFonts w:hint="default"/>
        <w:lang w:val="en-US" w:eastAsia="en-US" w:bidi="ar-SA"/>
      </w:rPr>
    </w:lvl>
    <w:lvl w:ilvl="5">
      <w:start w:val="0"/>
      <w:numFmt w:val="bullet"/>
      <w:lvlText w:val="•"/>
      <w:lvlJc w:val="left"/>
      <w:pPr>
        <w:ind w:left="2688" w:hanging="274"/>
      </w:pPr>
      <w:rPr>
        <w:rFonts w:hint="default"/>
        <w:lang w:val="en-US" w:eastAsia="en-US" w:bidi="ar-SA"/>
      </w:rPr>
    </w:lvl>
    <w:lvl w:ilvl="6">
      <w:start w:val="0"/>
      <w:numFmt w:val="bullet"/>
      <w:lvlText w:val="•"/>
      <w:lvlJc w:val="left"/>
      <w:pPr>
        <w:ind w:left="3198" w:hanging="274"/>
      </w:pPr>
      <w:rPr>
        <w:rFonts w:hint="default"/>
        <w:lang w:val="en-US" w:eastAsia="en-US" w:bidi="ar-SA"/>
      </w:rPr>
    </w:lvl>
    <w:lvl w:ilvl="7">
      <w:start w:val="0"/>
      <w:numFmt w:val="bullet"/>
      <w:lvlText w:val="•"/>
      <w:lvlJc w:val="left"/>
      <w:pPr>
        <w:ind w:left="3708" w:hanging="274"/>
      </w:pPr>
      <w:rPr>
        <w:rFonts w:hint="default"/>
        <w:lang w:val="en-US" w:eastAsia="en-US" w:bidi="ar-SA"/>
      </w:rPr>
    </w:lvl>
    <w:lvl w:ilvl="8">
      <w:start w:val="0"/>
      <w:numFmt w:val="bullet"/>
      <w:lvlText w:val="•"/>
      <w:lvlJc w:val="left"/>
      <w:pPr>
        <w:ind w:left="4218" w:hanging="274"/>
      </w:pPr>
      <w:rPr>
        <w:rFonts w:hint="default"/>
        <w:lang w:val="en-US" w:eastAsia="en-US" w:bidi="ar-SA"/>
      </w:rPr>
    </w:lvl>
  </w:abstractNum>
  <w:abstractNum w:abstractNumId="4">
    <w:multiLevelType w:val="hybridMultilevel"/>
    <w:lvl w:ilvl="0">
      <w:start w:val="11"/>
      <w:numFmt w:val="decimal"/>
      <w:lvlText w:val="%1."/>
      <w:lvlJc w:val="left"/>
      <w:pPr>
        <w:ind w:left="141" w:hanging="308"/>
        <w:jc w:val="lef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640" w:hanging="308"/>
      </w:pPr>
      <w:rPr>
        <w:rFonts w:hint="default"/>
        <w:lang w:val="en-US" w:eastAsia="en-US" w:bidi="ar-SA"/>
      </w:rPr>
    </w:lvl>
    <w:lvl w:ilvl="2">
      <w:start w:val="0"/>
      <w:numFmt w:val="bullet"/>
      <w:lvlText w:val="•"/>
      <w:lvlJc w:val="left"/>
      <w:pPr>
        <w:ind w:left="1140" w:hanging="308"/>
      </w:pPr>
      <w:rPr>
        <w:rFonts w:hint="default"/>
        <w:lang w:val="en-US" w:eastAsia="en-US" w:bidi="ar-SA"/>
      </w:rPr>
    </w:lvl>
    <w:lvl w:ilvl="3">
      <w:start w:val="0"/>
      <w:numFmt w:val="bullet"/>
      <w:lvlText w:val="•"/>
      <w:lvlJc w:val="left"/>
      <w:pPr>
        <w:ind w:left="1641" w:hanging="308"/>
      </w:pPr>
      <w:rPr>
        <w:rFonts w:hint="default"/>
        <w:lang w:val="en-US" w:eastAsia="en-US" w:bidi="ar-SA"/>
      </w:rPr>
    </w:lvl>
    <w:lvl w:ilvl="4">
      <w:start w:val="0"/>
      <w:numFmt w:val="bullet"/>
      <w:lvlText w:val="•"/>
      <w:lvlJc w:val="left"/>
      <w:pPr>
        <w:ind w:left="2141" w:hanging="308"/>
      </w:pPr>
      <w:rPr>
        <w:rFonts w:hint="default"/>
        <w:lang w:val="en-US" w:eastAsia="en-US" w:bidi="ar-SA"/>
      </w:rPr>
    </w:lvl>
    <w:lvl w:ilvl="5">
      <w:start w:val="0"/>
      <w:numFmt w:val="bullet"/>
      <w:lvlText w:val="•"/>
      <w:lvlJc w:val="left"/>
      <w:pPr>
        <w:ind w:left="2642" w:hanging="308"/>
      </w:pPr>
      <w:rPr>
        <w:rFonts w:hint="default"/>
        <w:lang w:val="en-US" w:eastAsia="en-US" w:bidi="ar-SA"/>
      </w:rPr>
    </w:lvl>
    <w:lvl w:ilvl="6">
      <w:start w:val="0"/>
      <w:numFmt w:val="bullet"/>
      <w:lvlText w:val="•"/>
      <w:lvlJc w:val="left"/>
      <w:pPr>
        <w:ind w:left="3142" w:hanging="308"/>
      </w:pPr>
      <w:rPr>
        <w:rFonts w:hint="default"/>
        <w:lang w:val="en-US" w:eastAsia="en-US" w:bidi="ar-SA"/>
      </w:rPr>
    </w:lvl>
    <w:lvl w:ilvl="7">
      <w:start w:val="0"/>
      <w:numFmt w:val="bullet"/>
      <w:lvlText w:val="•"/>
      <w:lvlJc w:val="left"/>
      <w:pPr>
        <w:ind w:left="3643" w:hanging="308"/>
      </w:pPr>
      <w:rPr>
        <w:rFonts w:hint="default"/>
        <w:lang w:val="en-US" w:eastAsia="en-US" w:bidi="ar-SA"/>
      </w:rPr>
    </w:lvl>
    <w:lvl w:ilvl="8">
      <w:start w:val="0"/>
      <w:numFmt w:val="bullet"/>
      <w:lvlText w:val="•"/>
      <w:lvlJc w:val="left"/>
      <w:pPr>
        <w:ind w:left="4143" w:hanging="308"/>
      </w:pPr>
      <w:rPr>
        <w:rFonts w:hint="default"/>
        <w:lang w:val="en-US" w:eastAsia="en-US" w:bidi="ar-SA"/>
      </w:rPr>
    </w:lvl>
  </w:abstractNum>
  <w:abstractNum w:abstractNumId="3">
    <w:multiLevelType w:val="hybridMultilevel"/>
    <w:lvl w:ilvl="0">
      <w:start w:val="1"/>
      <w:numFmt w:val="decimal"/>
      <w:lvlText w:val="%1."/>
      <w:lvlJc w:val="left"/>
      <w:pPr>
        <w:ind w:left="141" w:hanging="293"/>
        <w:jc w:val="lef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640" w:hanging="293"/>
      </w:pPr>
      <w:rPr>
        <w:rFonts w:hint="default"/>
        <w:lang w:val="en-US" w:eastAsia="en-US" w:bidi="ar-SA"/>
      </w:rPr>
    </w:lvl>
    <w:lvl w:ilvl="2">
      <w:start w:val="0"/>
      <w:numFmt w:val="bullet"/>
      <w:lvlText w:val="•"/>
      <w:lvlJc w:val="left"/>
      <w:pPr>
        <w:ind w:left="1140" w:hanging="293"/>
      </w:pPr>
      <w:rPr>
        <w:rFonts w:hint="default"/>
        <w:lang w:val="en-US" w:eastAsia="en-US" w:bidi="ar-SA"/>
      </w:rPr>
    </w:lvl>
    <w:lvl w:ilvl="3">
      <w:start w:val="0"/>
      <w:numFmt w:val="bullet"/>
      <w:lvlText w:val="•"/>
      <w:lvlJc w:val="left"/>
      <w:pPr>
        <w:ind w:left="1641" w:hanging="293"/>
      </w:pPr>
      <w:rPr>
        <w:rFonts w:hint="default"/>
        <w:lang w:val="en-US" w:eastAsia="en-US" w:bidi="ar-SA"/>
      </w:rPr>
    </w:lvl>
    <w:lvl w:ilvl="4">
      <w:start w:val="0"/>
      <w:numFmt w:val="bullet"/>
      <w:lvlText w:val="•"/>
      <w:lvlJc w:val="left"/>
      <w:pPr>
        <w:ind w:left="2141" w:hanging="293"/>
      </w:pPr>
      <w:rPr>
        <w:rFonts w:hint="default"/>
        <w:lang w:val="en-US" w:eastAsia="en-US" w:bidi="ar-SA"/>
      </w:rPr>
    </w:lvl>
    <w:lvl w:ilvl="5">
      <w:start w:val="0"/>
      <w:numFmt w:val="bullet"/>
      <w:lvlText w:val="•"/>
      <w:lvlJc w:val="left"/>
      <w:pPr>
        <w:ind w:left="2642" w:hanging="293"/>
      </w:pPr>
      <w:rPr>
        <w:rFonts w:hint="default"/>
        <w:lang w:val="en-US" w:eastAsia="en-US" w:bidi="ar-SA"/>
      </w:rPr>
    </w:lvl>
    <w:lvl w:ilvl="6">
      <w:start w:val="0"/>
      <w:numFmt w:val="bullet"/>
      <w:lvlText w:val="•"/>
      <w:lvlJc w:val="left"/>
      <w:pPr>
        <w:ind w:left="3142" w:hanging="293"/>
      </w:pPr>
      <w:rPr>
        <w:rFonts w:hint="default"/>
        <w:lang w:val="en-US" w:eastAsia="en-US" w:bidi="ar-SA"/>
      </w:rPr>
    </w:lvl>
    <w:lvl w:ilvl="7">
      <w:start w:val="0"/>
      <w:numFmt w:val="bullet"/>
      <w:lvlText w:val="•"/>
      <w:lvlJc w:val="left"/>
      <w:pPr>
        <w:ind w:left="3643" w:hanging="293"/>
      </w:pPr>
      <w:rPr>
        <w:rFonts w:hint="default"/>
        <w:lang w:val="en-US" w:eastAsia="en-US" w:bidi="ar-SA"/>
      </w:rPr>
    </w:lvl>
    <w:lvl w:ilvl="8">
      <w:start w:val="0"/>
      <w:numFmt w:val="bullet"/>
      <w:lvlText w:val="•"/>
      <w:lvlJc w:val="left"/>
      <w:pPr>
        <w:ind w:left="4143" w:hanging="293"/>
      </w:pPr>
      <w:rPr>
        <w:rFonts w:hint="default"/>
        <w:lang w:val="en-US" w:eastAsia="en-US" w:bidi="ar-SA"/>
      </w:rPr>
    </w:lvl>
  </w:abstractNum>
  <w:abstractNum w:abstractNumId="2">
    <w:multiLevelType w:val="hybridMultilevel"/>
    <w:lvl w:ilvl="0">
      <w:start w:val="1"/>
      <w:numFmt w:val="lowerRoman"/>
      <w:lvlText w:val="%1."/>
      <w:lvlJc w:val="left"/>
      <w:pPr>
        <w:ind w:left="501"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73" w:hanging="360"/>
      </w:pPr>
      <w:rPr>
        <w:rFonts w:hint="default"/>
        <w:lang w:val="en-US" w:eastAsia="en-US" w:bidi="ar-SA"/>
      </w:rPr>
    </w:lvl>
    <w:lvl w:ilvl="2">
      <w:start w:val="0"/>
      <w:numFmt w:val="bullet"/>
      <w:lvlText w:val="•"/>
      <w:lvlJc w:val="left"/>
      <w:pPr>
        <w:ind w:left="1447" w:hanging="360"/>
      </w:pPr>
      <w:rPr>
        <w:rFonts w:hint="default"/>
        <w:lang w:val="en-US" w:eastAsia="en-US" w:bidi="ar-SA"/>
      </w:rPr>
    </w:lvl>
    <w:lvl w:ilvl="3">
      <w:start w:val="0"/>
      <w:numFmt w:val="bullet"/>
      <w:lvlText w:val="•"/>
      <w:lvlJc w:val="left"/>
      <w:pPr>
        <w:ind w:left="1921" w:hanging="360"/>
      </w:pPr>
      <w:rPr>
        <w:rFonts w:hint="default"/>
        <w:lang w:val="en-US" w:eastAsia="en-US" w:bidi="ar-SA"/>
      </w:rPr>
    </w:lvl>
    <w:lvl w:ilvl="4">
      <w:start w:val="0"/>
      <w:numFmt w:val="bullet"/>
      <w:lvlText w:val="•"/>
      <w:lvlJc w:val="left"/>
      <w:pPr>
        <w:ind w:left="2395" w:hanging="360"/>
      </w:pPr>
      <w:rPr>
        <w:rFonts w:hint="default"/>
        <w:lang w:val="en-US" w:eastAsia="en-US" w:bidi="ar-SA"/>
      </w:rPr>
    </w:lvl>
    <w:lvl w:ilvl="5">
      <w:start w:val="0"/>
      <w:numFmt w:val="bullet"/>
      <w:lvlText w:val="•"/>
      <w:lvlJc w:val="left"/>
      <w:pPr>
        <w:ind w:left="2868" w:hanging="360"/>
      </w:pPr>
      <w:rPr>
        <w:rFonts w:hint="default"/>
        <w:lang w:val="en-US" w:eastAsia="en-US" w:bidi="ar-SA"/>
      </w:rPr>
    </w:lvl>
    <w:lvl w:ilvl="6">
      <w:start w:val="0"/>
      <w:numFmt w:val="bullet"/>
      <w:lvlText w:val="•"/>
      <w:lvlJc w:val="left"/>
      <w:pPr>
        <w:ind w:left="3342" w:hanging="360"/>
      </w:pPr>
      <w:rPr>
        <w:rFonts w:hint="default"/>
        <w:lang w:val="en-US" w:eastAsia="en-US" w:bidi="ar-SA"/>
      </w:rPr>
    </w:lvl>
    <w:lvl w:ilvl="7">
      <w:start w:val="0"/>
      <w:numFmt w:val="bullet"/>
      <w:lvlText w:val="•"/>
      <w:lvlJc w:val="left"/>
      <w:pPr>
        <w:ind w:left="3816" w:hanging="360"/>
      </w:pPr>
      <w:rPr>
        <w:rFonts w:hint="default"/>
        <w:lang w:val="en-US" w:eastAsia="en-US" w:bidi="ar-SA"/>
      </w:rPr>
    </w:lvl>
    <w:lvl w:ilvl="8">
      <w:start w:val="0"/>
      <w:numFmt w:val="bullet"/>
      <w:lvlText w:val="•"/>
      <w:lvlJc w:val="left"/>
      <w:pPr>
        <w:ind w:left="4290" w:hanging="360"/>
      </w:pPr>
      <w:rPr>
        <w:rFonts w:hint="default"/>
        <w:lang w:val="en-US" w:eastAsia="en-US" w:bidi="ar-SA"/>
      </w:rPr>
    </w:lvl>
  </w:abstractNum>
  <w:abstractNum w:abstractNumId="1">
    <w:multiLevelType w:val="hybridMultilevel"/>
    <w:lvl w:ilvl="0">
      <w:start w:val="1"/>
      <w:numFmt w:val="lowerRoman"/>
      <w:lvlText w:val="%1."/>
      <w:lvlJc w:val="left"/>
      <w:pPr>
        <w:ind w:left="602" w:hanging="4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054" w:hanging="461"/>
      </w:pPr>
      <w:rPr>
        <w:rFonts w:hint="default"/>
        <w:lang w:val="en-US" w:eastAsia="en-US" w:bidi="ar-SA"/>
      </w:rPr>
    </w:lvl>
    <w:lvl w:ilvl="2">
      <w:start w:val="0"/>
      <w:numFmt w:val="bullet"/>
      <w:lvlText w:val="•"/>
      <w:lvlJc w:val="left"/>
      <w:pPr>
        <w:ind w:left="1508" w:hanging="461"/>
      </w:pPr>
      <w:rPr>
        <w:rFonts w:hint="default"/>
        <w:lang w:val="en-US" w:eastAsia="en-US" w:bidi="ar-SA"/>
      </w:rPr>
    </w:lvl>
    <w:lvl w:ilvl="3">
      <w:start w:val="0"/>
      <w:numFmt w:val="bullet"/>
      <w:lvlText w:val="•"/>
      <w:lvlJc w:val="left"/>
      <w:pPr>
        <w:ind w:left="1962" w:hanging="461"/>
      </w:pPr>
      <w:rPr>
        <w:rFonts w:hint="default"/>
        <w:lang w:val="en-US" w:eastAsia="en-US" w:bidi="ar-SA"/>
      </w:rPr>
    </w:lvl>
    <w:lvl w:ilvl="4">
      <w:start w:val="0"/>
      <w:numFmt w:val="bullet"/>
      <w:lvlText w:val="•"/>
      <w:lvlJc w:val="left"/>
      <w:pPr>
        <w:ind w:left="2417" w:hanging="461"/>
      </w:pPr>
      <w:rPr>
        <w:rFonts w:hint="default"/>
        <w:lang w:val="en-US" w:eastAsia="en-US" w:bidi="ar-SA"/>
      </w:rPr>
    </w:lvl>
    <w:lvl w:ilvl="5">
      <w:start w:val="0"/>
      <w:numFmt w:val="bullet"/>
      <w:lvlText w:val="•"/>
      <w:lvlJc w:val="left"/>
      <w:pPr>
        <w:ind w:left="2871" w:hanging="461"/>
      </w:pPr>
      <w:rPr>
        <w:rFonts w:hint="default"/>
        <w:lang w:val="en-US" w:eastAsia="en-US" w:bidi="ar-SA"/>
      </w:rPr>
    </w:lvl>
    <w:lvl w:ilvl="6">
      <w:start w:val="0"/>
      <w:numFmt w:val="bullet"/>
      <w:lvlText w:val="•"/>
      <w:lvlJc w:val="left"/>
      <w:pPr>
        <w:ind w:left="3325" w:hanging="461"/>
      </w:pPr>
      <w:rPr>
        <w:rFonts w:hint="default"/>
        <w:lang w:val="en-US" w:eastAsia="en-US" w:bidi="ar-SA"/>
      </w:rPr>
    </w:lvl>
    <w:lvl w:ilvl="7">
      <w:start w:val="0"/>
      <w:numFmt w:val="bullet"/>
      <w:lvlText w:val="•"/>
      <w:lvlJc w:val="left"/>
      <w:pPr>
        <w:ind w:left="3780" w:hanging="461"/>
      </w:pPr>
      <w:rPr>
        <w:rFonts w:hint="default"/>
        <w:lang w:val="en-US" w:eastAsia="en-US" w:bidi="ar-SA"/>
      </w:rPr>
    </w:lvl>
    <w:lvl w:ilvl="8">
      <w:start w:val="0"/>
      <w:numFmt w:val="bullet"/>
      <w:lvlText w:val="•"/>
      <w:lvlJc w:val="left"/>
      <w:pPr>
        <w:ind w:left="4234" w:hanging="461"/>
      </w:pPr>
      <w:rPr>
        <w:rFonts w:hint="default"/>
        <w:lang w:val="en-US" w:eastAsia="en-US" w:bidi="ar-SA"/>
      </w:rPr>
    </w:lvl>
  </w:abstractNum>
  <w:abstractNum w:abstractNumId="0">
    <w:multiLevelType w:val="hybridMultilevel"/>
    <w:lvl w:ilvl="0">
      <w:start w:val="3"/>
      <w:numFmt w:val="lowerRoman"/>
      <w:lvlText w:val="%1."/>
      <w:lvlJc w:val="left"/>
      <w:pPr>
        <w:ind w:left="511" w:hanging="370"/>
        <w:jc w:val="left"/>
      </w:pPr>
      <w:rPr>
        <w:rFonts w:hint="default" w:ascii="Times New Roman" w:hAnsi="Times New Roman" w:eastAsia="Times New Roman" w:cs="Times New Roman"/>
        <w:b w:val="0"/>
        <w:bCs w:val="0"/>
        <w:i w:val="0"/>
        <w:iCs w:val="0"/>
        <w:spacing w:val="-4"/>
        <w:w w:val="100"/>
        <w:sz w:val="20"/>
        <w:szCs w:val="20"/>
        <w:lang w:val="en-US" w:eastAsia="en-US" w:bidi="ar-SA"/>
      </w:rPr>
    </w:lvl>
    <w:lvl w:ilvl="1">
      <w:start w:val="0"/>
      <w:numFmt w:val="bullet"/>
      <w:lvlText w:val="•"/>
      <w:lvlJc w:val="left"/>
      <w:pPr>
        <w:ind w:left="982" w:hanging="370"/>
      </w:pPr>
      <w:rPr>
        <w:rFonts w:hint="default"/>
        <w:lang w:val="en-US" w:eastAsia="en-US" w:bidi="ar-SA"/>
      </w:rPr>
    </w:lvl>
    <w:lvl w:ilvl="2">
      <w:start w:val="0"/>
      <w:numFmt w:val="bullet"/>
      <w:lvlText w:val="•"/>
      <w:lvlJc w:val="left"/>
      <w:pPr>
        <w:ind w:left="1444" w:hanging="370"/>
      </w:pPr>
      <w:rPr>
        <w:rFonts w:hint="default"/>
        <w:lang w:val="en-US" w:eastAsia="en-US" w:bidi="ar-SA"/>
      </w:rPr>
    </w:lvl>
    <w:lvl w:ilvl="3">
      <w:start w:val="0"/>
      <w:numFmt w:val="bullet"/>
      <w:lvlText w:val="•"/>
      <w:lvlJc w:val="left"/>
      <w:pPr>
        <w:ind w:left="1906" w:hanging="370"/>
      </w:pPr>
      <w:rPr>
        <w:rFonts w:hint="default"/>
        <w:lang w:val="en-US" w:eastAsia="en-US" w:bidi="ar-SA"/>
      </w:rPr>
    </w:lvl>
    <w:lvl w:ilvl="4">
      <w:start w:val="0"/>
      <w:numFmt w:val="bullet"/>
      <w:lvlText w:val="•"/>
      <w:lvlJc w:val="left"/>
      <w:pPr>
        <w:ind w:left="2369" w:hanging="370"/>
      </w:pPr>
      <w:rPr>
        <w:rFonts w:hint="default"/>
        <w:lang w:val="en-US" w:eastAsia="en-US" w:bidi="ar-SA"/>
      </w:rPr>
    </w:lvl>
    <w:lvl w:ilvl="5">
      <w:start w:val="0"/>
      <w:numFmt w:val="bullet"/>
      <w:lvlText w:val="•"/>
      <w:lvlJc w:val="left"/>
      <w:pPr>
        <w:ind w:left="2831" w:hanging="370"/>
      </w:pPr>
      <w:rPr>
        <w:rFonts w:hint="default"/>
        <w:lang w:val="en-US" w:eastAsia="en-US" w:bidi="ar-SA"/>
      </w:rPr>
    </w:lvl>
    <w:lvl w:ilvl="6">
      <w:start w:val="0"/>
      <w:numFmt w:val="bullet"/>
      <w:lvlText w:val="•"/>
      <w:lvlJc w:val="left"/>
      <w:pPr>
        <w:ind w:left="3293" w:hanging="370"/>
      </w:pPr>
      <w:rPr>
        <w:rFonts w:hint="default"/>
        <w:lang w:val="en-US" w:eastAsia="en-US" w:bidi="ar-SA"/>
      </w:rPr>
    </w:lvl>
    <w:lvl w:ilvl="7">
      <w:start w:val="0"/>
      <w:numFmt w:val="bullet"/>
      <w:lvlText w:val="•"/>
      <w:lvlJc w:val="left"/>
      <w:pPr>
        <w:ind w:left="3756" w:hanging="370"/>
      </w:pPr>
      <w:rPr>
        <w:rFonts w:hint="default"/>
        <w:lang w:val="en-US" w:eastAsia="en-US" w:bidi="ar-SA"/>
      </w:rPr>
    </w:lvl>
    <w:lvl w:ilvl="8">
      <w:start w:val="0"/>
      <w:numFmt w:val="bullet"/>
      <w:lvlText w:val="•"/>
      <w:lvlJc w:val="left"/>
      <w:pPr>
        <w:ind w:left="4218" w:hanging="37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41"/>
      <w:jc w:val="both"/>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ind w:left="6" w:hanging="3125"/>
      <w:outlineLvl w:val="1"/>
    </w:pPr>
    <w:rPr>
      <w:rFonts w:ascii="Times New Roman" w:hAnsi="Times New Roman" w:eastAsia="Times New Roman" w:cs="Times New Roman"/>
      <w:sz w:val="24"/>
      <w:szCs w:val="24"/>
      <w:lang w:val="en-US" w:eastAsia="en-US" w:bidi="ar-SA"/>
    </w:rPr>
  </w:style>
  <w:style w:styleId="Heading2" w:type="paragraph">
    <w:name w:val="Heading 2"/>
    <w:basedOn w:val="Normal"/>
    <w:uiPriority w:val="1"/>
    <w:qFormat/>
    <w:pPr>
      <w:spacing w:line="228" w:lineRule="exact"/>
      <w:ind w:left="141"/>
      <w:outlineLvl w:val="2"/>
    </w:pPr>
    <w:rPr>
      <w:rFonts w:ascii="Times New Roman" w:hAnsi="Times New Roman" w:eastAsia="Times New Roman" w:cs="Times New Roman"/>
      <w:b/>
      <w:bCs/>
      <w:sz w:val="20"/>
      <w:szCs w:val="20"/>
      <w:lang w:val="en-US" w:eastAsia="en-US" w:bidi="ar-SA"/>
    </w:rPr>
  </w:style>
  <w:style w:styleId="Heading3" w:type="paragraph">
    <w:name w:val="Heading 3"/>
    <w:basedOn w:val="Normal"/>
    <w:uiPriority w:val="1"/>
    <w:qFormat/>
    <w:pPr>
      <w:spacing w:line="228" w:lineRule="exact"/>
      <w:ind w:left="141"/>
      <w:jc w:val="both"/>
      <w:outlineLvl w:val="3"/>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before="109"/>
      <w:ind w:left="1989"/>
    </w:pPr>
    <w:rPr>
      <w:rFonts w:ascii="Georgia" w:hAnsi="Georgia" w:eastAsia="Georgia" w:cs="Georgia"/>
      <w:b/>
      <w:bCs/>
      <w:sz w:val="28"/>
      <w:szCs w:val="28"/>
      <w:lang w:val="en-US" w:eastAsia="en-US" w:bidi="ar-SA"/>
    </w:rPr>
  </w:style>
  <w:style w:styleId="ListParagraph" w:type="paragraph">
    <w:name w:val="List Paragraph"/>
    <w:basedOn w:val="Normal"/>
    <w:uiPriority w:val="1"/>
    <w:qFormat/>
    <w:pPr>
      <w:ind w:left="141" w:right="133"/>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178" w:lineRule="exact"/>
      <w:ind w:left="5" w:right="5"/>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http://www.irjponline.com/" TargetMode="External"/><Relationship Id="rId9" Type="http://schemas.openxmlformats.org/officeDocument/2006/relationships/hyperlink" Target="mailto:amolwaghmare5@gmail.com" TargetMode="Externa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2025-02-21T07:23:50Z</dcterms:created>
  <dcterms:modified xsi:type="dcterms:W3CDTF">2025-02-21T07:23:50Z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2025-02-21T00:00:00Z</vt:filetime>
  </property>
  <property fmtid="{D5CDD505-2E9C-101B-9397-08002B2CF9AE}" pid="3" name="LastSaved">
    <vt:filetime>2025-02-21T00:00:00Z</vt:filetime>
  </property>
  <property fmtid="{D5CDD505-2E9C-101B-9397-08002B2CF9AE}" pid="4" name="Producer">
    <vt:lpwstr>3-Heights™ PDF Merge Split Shell 6.12.1.11 (http://www.pdf-tools.com)</vt:lpwstr>
  </property>
</Properties>
</file>